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A9A" w:rsidRDefault="00A36A9A" w:rsidP="00A36A9A">
      <w:pPr>
        <w:pStyle w:val="bpuBill"/>
      </w:pPr>
      <w:bookmarkStart w:id="0" w:name="bpuFrontPg"/>
      <w:bookmarkEnd w:id="0"/>
      <w:r>
        <w:t xml:space="preserve">ASSEMBLY, No. 363 </w:t>
      </w:r>
    </w:p>
    <w:p w:rsidR="00A36A9A" w:rsidRPr="00A36A9A" w:rsidRDefault="00A36A9A" w:rsidP="00A36A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098952" r:id="rId8"/>
        </w:object>
      </w:r>
    </w:p>
    <w:p w:rsidR="00A36A9A" w:rsidRDefault="00A36A9A" w:rsidP="00A36A9A">
      <w:pPr>
        <w:pStyle w:val="bpuState"/>
      </w:pPr>
      <w:r>
        <w:t>STATE OF NEW JERSEY</w:t>
      </w:r>
    </w:p>
    <w:p w:rsidR="00A36A9A" w:rsidRDefault="00A36A9A" w:rsidP="00A36A9A">
      <w:pPr>
        <w:pStyle w:val="bpuLegislature"/>
      </w:pPr>
      <w:r>
        <w:t>219th LEGISLATURE</w:t>
      </w:r>
    </w:p>
    <w:p w:rsidR="00A36A9A" w:rsidRDefault="00A36A9A" w:rsidP="00A36A9A">
      <w:pPr>
        <w:pStyle w:val="bpuWpGraphic"/>
      </w:pPr>
      <w:r>
        <w:object w:dxaOrig="8985" w:dyaOrig="255">
          <v:shape id="_x0000_i1026" type="#_x0000_t75" style="width:6in;height:12pt" o:ole="">
            <v:imagedata r:id="rId7" o:title=""/>
          </v:shape>
          <o:OLEObject Type="Embed" ProgID="WPWin6.1" ShapeID="_x0000_i1026" DrawAspect="Content" ObjectID="_1650098953" r:id="rId9"/>
        </w:object>
      </w:r>
      <w:r>
        <w:t xml:space="preserve">  </w:t>
      </w:r>
    </w:p>
    <w:p w:rsidR="00A36A9A" w:rsidRDefault="00A36A9A" w:rsidP="00A36A9A">
      <w:pPr>
        <w:pStyle w:val="bpuIntro"/>
      </w:pPr>
      <w:r>
        <w:t>PRE-FILED FOR INTRODUCTION IN THE 2020 SESSION</w:t>
      </w:r>
    </w:p>
    <w:p w:rsidR="00A36A9A" w:rsidRDefault="00A36A9A" w:rsidP="00A36A9A">
      <w:pPr>
        <w:pStyle w:val="bpuIntro"/>
      </w:pPr>
    </w:p>
    <w:p w:rsidR="00A36A9A" w:rsidRDefault="00A36A9A" w:rsidP="00A36A9A">
      <w:pPr>
        <w:pStyle w:val="bpuIntro"/>
        <w:sectPr w:rsidR="00A36A9A" w:rsidSect="00CB2A0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6A9A" w:rsidRDefault="00A36A9A" w:rsidP="00A36A9A">
      <w:pPr>
        <w:pStyle w:val="bpuIntro"/>
      </w:pPr>
    </w:p>
    <w:p w:rsidR="00A36A9A" w:rsidRDefault="00A36A9A" w:rsidP="00A36A9A">
      <w:pPr>
        <w:pStyle w:val="bpuSponsor"/>
      </w:pPr>
      <w:r>
        <w:t>Sponsored by:</w:t>
      </w:r>
    </w:p>
    <w:p w:rsidR="00A36A9A" w:rsidRDefault="00A36A9A" w:rsidP="00A36A9A">
      <w:pPr>
        <w:pStyle w:val="bpuSponsor"/>
      </w:pPr>
      <w:r>
        <w:t>Assemblyman  SEAN T. KEAN</w:t>
      </w:r>
    </w:p>
    <w:p w:rsidR="00A36A9A" w:rsidRDefault="00A36A9A" w:rsidP="00A36A9A">
      <w:pPr>
        <w:pStyle w:val="bpuSponsor"/>
      </w:pPr>
      <w:r>
        <w:t>District 30 (Monmouth and Ocean)</w:t>
      </w:r>
    </w:p>
    <w:p w:rsidR="00A36A9A" w:rsidRDefault="00CB2A01" w:rsidP="00CB2A01">
      <w:pPr>
        <w:pStyle w:val="bpuSponsor"/>
      </w:pPr>
      <w:r>
        <w:t>Assemblywoman  AURA K. DUNN</w:t>
      </w:r>
    </w:p>
    <w:p w:rsidR="00CB2A01" w:rsidRDefault="00CB2A01" w:rsidP="00CB2A01">
      <w:pPr>
        <w:pStyle w:val="bpuSponsor"/>
      </w:pPr>
      <w:r>
        <w:t>District 25 (Morris and Somerset)</w:t>
      </w:r>
    </w:p>
    <w:p w:rsidR="00CB2A01" w:rsidRPr="00CB2A01" w:rsidRDefault="00CB2A01" w:rsidP="00CB2A01">
      <w:pPr>
        <w:pStyle w:val="bpuSponsor"/>
      </w:pPr>
    </w:p>
    <w:p w:rsidR="00A36A9A" w:rsidRDefault="00A36A9A" w:rsidP="00A36A9A">
      <w:pPr>
        <w:pStyle w:val="bpuSponsor"/>
      </w:pPr>
      <w:r>
        <w:t>Co-Sponsored by:</w:t>
      </w:r>
    </w:p>
    <w:p w:rsidR="00A36A9A" w:rsidRDefault="00A36A9A" w:rsidP="00A36A9A">
      <w:pPr>
        <w:pStyle w:val="bpuSponsor"/>
      </w:pPr>
      <w:r w:rsidRPr="00A36A9A">
        <w:t>Assemblyman Peters</w:t>
      </w:r>
    </w:p>
    <w:p w:rsidR="00A36A9A" w:rsidRDefault="00A36A9A" w:rsidP="00A36A9A"/>
    <w:p w:rsidR="00A36A9A" w:rsidRPr="00A36A9A" w:rsidRDefault="00A36A9A" w:rsidP="00A36A9A"/>
    <w:p w:rsidR="00A36A9A" w:rsidRDefault="00A36A9A" w:rsidP="00A36A9A">
      <w:pPr>
        <w:pStyle w:val="bpuSponsor"/>
      </w:pPr>
    </w:p>
    <w:p w:rsidR="00A36A9A" w:rsidRDefault="00A36A9A" w:rsidP="00A36A9A">
      <w:pPr>
        <w:pStyle w:val="bpuSponsor"/>
      </w:pPr>
    </w:p>
    <w:p w:rsidR="00A36A9A" w:rsidRDefault="00A36A9A" w:rsidP="00A36A9A">
      <w:pPr>
        <w:pStyle w:val="bpuSponsor"/>
      </w:pPr>
      <w:r>
        <w:t>SYNOPSIS</w:t>
      </w:r>
    </w:p>
    <w:p w:rsidR="00A36A9A" w:rsidRDefault="00A36A9A" w:rsidP="00A36A9A">
      <w:pPr>
        <w:pStyle w:val="bpuNormText"/>
      </w:pPr>
      <w:r>
        <w:tab/>
        <w:t xml:space="preserve">Bars custody of and visitation rights to child for a person convicted of aggravated sexual assault of a child under age 13. </w:t>
      </w:r>
    </w:p>
    <w:p w:rsidR="00A36A9A" w:rsidRDefault="00A36A9A" w:rsidP="00A36A9A">
      <w:pPr>
        <w:pStyle w:val="bpuNormText"/>
      </w:pPr>
    </w:p>
    <w:p w:rsidR="00A36A9A" w:rsidRDefault="00A36A9A" w:rsidP="00A36A9A">
      <w:pPr>
        <w:pStyle w:val="bpuSponsor"/>
      </w:pPr>
      <w:r>
        <w:t xml:space="preserve">CURRENT VERSION OF TEXT </w:t>
      </w:r>
    </w:p>
    <w:p w:rsidR="00A36A9A" w:rsidRDefault="00A36A9A" w:rsidP="00A36A9A">
      <w:pPr>
        <w:pStyle w:val="bpuNormText"/>
      </w:pPr>
      <w:r>
        <w:tab/>
        <w:t>Introduced Pending Technical Review by Legislative Counsel.</w:t>
      </w:r>
    </w:p>
    <w:p w:rsidR="00A36A9A" w:rsidRDefault="00A36A9A" w:rsidP="00A36A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6A9A" w:rsidRDefault="00A36A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6A9A" w:rsidSect="00A36A9A">
          <w:type w:val="continuous"/>
          <w:pgSz w:w="12240" w:h="20160" w:code="5"/>
          <w:pgMar w:top="2160" w:right="2275" w:bottom="1440" w:left="2275" w:header="72" w:footer="720" w:gutter="0"/>
          <w:pgNumType w:start="1"/>
          <w:cols w:space="720"/>
          <w:docGrid w:linePitch="360"/>
        </w:sectPr>
      </w:pPr>
    </w:p>
    <w:p w:rsidR="00B50817" w:rsidRPr="00677316" w:rsidRDefault="00B50817" w:rsidP="00B50817">
      <w:pPr>
        <w:pStyle w:val="HangingAnAct"/>
        <w:rPr>
          <w:rStyle w:val="HangingAnActChar"/>
        </w:rPr>
      </w:pPr>
      <w:r w:rsidRPr="00B50817">
        <w:rPr>
          <w:rStyle w:val="BillHead"/>
        </w:rPr>
        <w:lastRenderedPageBreak/>
        <w:t>An Act</w:t>
      </w:r>
      <w:r w:rsidRPr="006B7FA7">
        <w:rPr>
          <w:rStyle w:val="HangingAnActChar"/>
        </w:rPr>
        <w:t xml:space="preserve"> </w:t>
      </w:r>
      <w:r>
        <w:rPr>
          <w:rStyle w:val="HangingAnActChar"/>
        </w:rPr>
        <w:t xml:space="preserve">concerning parental rights in certain cases and amending P.L.1995, c.55.  </w:t>
      </w:r>
    </w:p>
    <w:p w:rsidR="00B50817" w:rsidRPr="00D71D68" w:rsidRDefault="00B50817" w:rsidP="00B50817"/>
    <w:p w:rsidR="00B50817" w:rsidRPr="00AA7880" w:rsidRDefault="00B50817" w:rsidP="00B50817">
      <w:r>
        <w:tab/>
      </w:r>
      <w:r>
        <w:rPr>
          <w:rStyle w:val="BillHeading2"/>
        </w:rPr>
        <w:t xml:space="preserve">Be It Enacted </w:t>
      </w:r>
      <w:r>
        <w:rPr>
          <w:rStyle w:val="BillLanguage"/>
        </w:rPr>
        <w:t>by the Senate and General Assembly of the State of New Jersey:</w:t>
      </w:r>
    </w:p>
    <w:p w:rsidR="00B50817" w:rsidRDefault="00B50817" w:rsidP="00B50817"/>
    <w:p w:rsidR="00B50817" w:rsidRDefault="00B50817" w:rsidP="00B50817">
      <w:r>
        <w:tab/>
        <w:t>1.</w:t>
      </w:r>
      <w:r>
        <w:tab/>
        <w:t xml:space="preserve">Section 1 of P.L.1995, c.55 (C.9:2-4.1) is amended to read as follows: </w:t>
      </w:r>
    </w:p>
    <w:p w:rsidR="00B50817" w:rsidRDefault="00B50817" w:rsidP="00B50817">
      <w:r>
        <w:tab/>
        <w:t>1.</w:t>
      </w:r>
      <w:r>
        <w:tab/>
        <w:t xml:space="preserve">a.  </w:t>
      </w:r>
      <w:r w:rsidRPr="00CD52BE">
        <w:rPr>
          <w:u w:val="single"/>
        </w:rPr>
        <w:t>(1)</w:t>
      </w:r>
      <w:r>
        <w:t xml:space="preserve"> Notwithstanding any provision of law to the contrary, a person convicted of </w:t>
      </w:r>
      <w:r>
        <w:rPr>
          <w:u w:val="single"/>
        </w:rPr>
        <w:t xml:space="preserve">aggravated sexual </w:t>
      </w:r>
      <w:r w:rsidRPr="006024BF">
        <w:rPr>
          <w:u w:val="single"/>
        </w:rPr>
        <w:t>assault or</w:t>
      </w:r>
      <w:r w:rsidRPr="006024BF">
        <w:t xml:space="preserve"> sexual </w:t>
      </w:r>
      <w:r>
        <w:t xml:space="preserve">assault under N.J.S.2C:14-2 </w:t>
      </w:r>
      <w:r>
        <w:rPr>
          <w:u w:val="single"/>
        </w:rPr>
        <w:t>against a victim who was at least 13 years old at the time of the offense</w:t>
      </w:r>
      <w:r>
        <w:t xml:space="preserve"> shall not be awarded the custody of or visitation rights to any minor child, including a minor child who was born as a result of or was the victim of the sexual assault, except upon a showing by clear and convincing evidence that it is in the best interest of the child for custody or visitation rights to be awarded. </w:t>
      </w:r>
      <w:r w:rsidRPr="00944497">
        <w:rPr>
          <w:rFonts w:ascii="Albertus Extra Bold" w:hAnsi="Albertus Extra Bold"/>
          <w:b/>
        </w:rPr>
        <w:t>[</w:t>
      </w:r>
      <w:r>
        <w:t>However, a</w:t>
      </w:r>
      <w:r w:rsidRPr="00944497">
        <w:rPr>
          <w:rFonts w:ascii="Albertus Extra Bold" w:hAnsi="Albertus Extra Bold"/>
          <w:b/>
        </w:rPr>
        <w:t>]</w:t>
      </w:r>
      <w:r>
        <w:t xml:space="preserve"> </w:t>
      </w:r>
      <w:r w:rsidRPr="00944497">
        <w:rPr>
          <w:u w:val="single"/>
        </w:rPr>
        <w:t>A</w:t>
      </w:r>
      <w:r w:rsidRPr="00944497">
        <w:t xml:space="preserve"> </w:t>
      </w:r>
      <w:r>
        <w:t xml:space="preserve">court that awards such custody or visitation rights to a person convicted of </w:t>
      </w:r>
      <w:r>
        <w:rPr>
          <w:u w:val="single"/>
        </w:rPr>
        <w:t xml:space="preserve">aggravated sexual </w:t>
      </w:r>
      <w:r w:rsidRPr="006024BF">
        <w:rPr>
          <w:u w:val="single"/>
        </w:rPr>
        <w:t>assault or</w:t>
      </w:r>
      <w:r w:rsidRPr="006024BF">
        <w:t xml:space="preserve"> </w:t>
      </w:r>
      <w:r>
        <w:t>sexual assault under N.J.S.2C:14-2 shall stay enforcement of the order or judgment for at least 10 days in order to permit the appeal of the order or judgment and application for a stay in accordance with the Rules of Court.</w:t>
      </w:r>
    </w:p>
    <w:p w:rsidR="00B50817" w:rsidRPr="00CD52BE" w:rsidRDefault="00B50817" w:rsidP="00B50817">
      <w:pPr>
        <w:rPr>
          <w:u w:val="single"/>
        </w:rPr>
      </w:pPr>
      <w:r>
        <w:tab/>
      </w:r>
      <w:r w:rsidRPr="00CD52BE">
        <w:rPr>
          <w:u w:val="single"/>
        </w:rPr>
        <w:t xml:space="preserve">(2) </w:t>
      </w:r>
      <w:r>
        <w:rPr>
          <w:u w:val="single"/>
        </w:rPr>
        <w:t xml:space="preserve">Notwithstanding any provision of law to the contrary, a person convicted of aggravated sexual </w:t>
      </w:r>
      <w:r w:rsidRPr="006024BF">
        <w:rPr>
          <w:u w:val="single"/>
        </w:rPr>
        <w:t xml:space="preserve">assault </w:t>
      </w:r>
      <w:r>
        <w:rPr>
          <w:u w:val="single"/>
        </w:rPr>
        <w:t xml:space="preserve">under N.J.S.2C:14-2 against a victim who was less than 13 years old at the time of the offense shall not be awarded the custody of or visitation rights to any minor </w:t>
      </w:r>
      <w:r w:rsidRPr="004129FF">
        <w:rPr>
          <w:u w:val="single"/>
        </w:rPr>
        <w:t xml:space="preserve">child, including a minor child who was born as a result of or was the victim of the </w:t>
      </w:r>
      <w:r>
        <w:rPr>
          <w:u w:val="single"/>
        </w:rPr>
        <w:t xml:space="preserve">aggravated sexual </w:t>
      </w:r>
      <w:r w:rsidRPr="006024BF">
        <w:rPr>
          <w:u w:val="single"/>
        </w:rPr>
        <w:t>assault</w:t>
      </w:r>
      <w:r w:rsidRPr="00AD530B">
        <w:rPr>
          <w:u w:val="single"/>
        </w:rPr>
        <w:t xml:space="preserve">. A court that awards such custody or visitation rights to a person convicted of </w:t>
      </w:r>
      <w:r>
        <w:rPr>
          <w:u w:val="single"/>
        </w:rPr>
        <w:t xml:space="preserve">aggravated </w:t>
      </w:r>
      <w:r w:rsidRPr="00AD530B">
        <w:rPr>
          <w:u w:val="single"/>
        </w:rPr>
        <w:t>sexual assault under N.J.S.2C:14-2 shall stay enforcement of the order or judgment for at least 10 days in order to permit the appeal of the order or judgment and application for a stay in accordance with the Rules of Court.</w:t>
      </w:r>
      <w:r>
        <w:rPr>
          <w:u w:val="single"/>
        </w:rPr>
        <w:t xml:space="preserve"> </w:t>
      </w:r>
    </w:p>
    <w:p w:rsidR="00B50817" w:rsidRDefault="00B50817" w:rsidP="00B50817">
      <w:r>
        <w:tab/>
        <w:t>b.</w:t>
      </w:r>
      <w:r>
        <w:tab/>
        <w:t xml:space="preserve">Notwithstanding any provision of law to the contrary, a person convicted of sexual contact under N.J.S.2C:14-3 or endangering the welfare of a child under N.J.S.2C:24-4 shall not be awarded the custody of or visitation rights to any minor child, except upon a showing by clear and convincing evidence that it is in the best interest of the child for such custody or visitation rights to be awarded.  </w:t>
      </w:r>
      <w:r w:rsidRPr="00944497">
        <w:rPr>
          <w:rFonts w:ascii="Albertus Extra Bold" w:hAnsi="Albertus Extra Bold"/>
          <w:b/>
        </w:rPr>
        <w:t>[</w:t>
      </w:r>
      <w:r>
        <w:t>However, a</w:t>
      </w:r>
      <w:r w:rsidRPr="00944497">
        <w:rPr>
          <w:rFonts w:ascii="Albertus Extra Bold" w:hAnsi="Albertus Extra Bold"/>
          <w:b/>
        </w:rPr>
        <w:t>]</w:t>
      </w:r>
      <w:r>
        <w:t xml:space="preserve"> </w:t>
      </w:r>
      <w:r w:rsidRPr="00944497">
        <w:rPr>
          <w:u w:val="single"/>
        </w:rPr>
        <w:t>A</w:t>
      </w:r>
      <w:r w:rsidRPr="00944497">
        <w:t xml:space="preserve"> </w:t>
      </w:r>
      <w:r>
        <w:t xml:space="preserve">court that awards such custody or visitation rights to a person convicted of sexual contact under N.J.S.2C:14-3 or endangering the welfare of a child under N.J.S.2C:24-4 shall stay enforcement of the order or judgment for at least 10 days in order to permit the appeal of the order or judgment and application for a stay in accordance with the Rules of Court. </w:t>
      </w:r>
    </w:p>
    <w:p w:rsidR="00B50817" w:rsidRDefault="00B50817" w:rsidP="00B50817">
      <w:r>
        <w:lastRenderedPageBreak/>
        <w:tab/>
        <w:t>c.</w:t>
      </w:r>
      <w:r>
        <w:tab/>
        <w:t>A denial of custody or visitation under this section shall not by itself terminate the parental rights of the person denied visitation or custody, nor shall it affect the obligation of the person to support the minor child.</w:t>
      </w:r>
      <w:bookmarkStart w:id="1" w:name="_GoBack"/>
      <w:bookmarkEnd w:id="1"/>
    </w:p>
    <w:p w:rsidR="00B50817" w:rsidRDefault="00B50817" w:rsidP="00B50817">
      <w:r>
        <w:tab/>
        <w:t>d.</w:t>
      </w:r>
      <w:r>
        <w:tab/>
        <w:t xml:space="preserve">In any proceeding for establishment or enforcement of such an obligation of support the victim shall not be required to appear in the presence of the obligor and the victim's and child's whereabouts shall be kept confidential. </w:t>
      </w:r>
    </w:p>
    <w:p w:rsidR="00B50817" w:rsidRDefault="00B50817" w:rsidP="00B50817">
      <w:r>
        <w:t>(</w:t>
      </w:r>
      <w:proofErr w:type="spellStart"/>
      <w:r>
        <w:t>cf</w:t>
      </w:r>
      <w:proofErr w:type="spellEnd"/>
      <w:r>
        <w:t>: P.L.1999, c.424, s.1)</w:t>
      </w:r>
    </w:p>
    <w:p w:rsidR="00B50817" w:rsidRPr="00D71D68" w:rsidRDefault="00B50817" w:rsidP="00B50817"/>
    <w:p w:rsidR="00B50817" w:rsidRPr="00AA7880" w:rsidRDefault="00B50817" w:rsidP="00B50817">
      <w:r>
        <w:tab/>
        <w:t>2.</w:t>
      </w:r>
      <w:r>
        <w:tab/>
        <w:t>This act shall take effect immediately.</w:t>
      </w:r>
    </w:p>
    <w:p w:rsidR="00B50817" w:rsidRDefault="00B50817" w:rsidP="00B50817"/>
    <w:p w:rsidR="00B50817" w:rsidRPr="00CE7BD8" w:rsidRDefault="00B50817" w:rsidP="00B50817"/>
    <w:p w:rsidR="00B50817" w:rsidRDefault="00B50817" w:rsidP="00B50817">
      <w:pPr>
        <w:jc w:val="center"/>
      </w:pPr>
      <w:r w:rsidRPr="00D71D68">
        <w:t>STATEMENT</w:t>
      </w:r>
    </w:p>
    <w:p w:rsidR="00B50817" w:rsidRPr="00AA7880" w:rsidRDefault="00B50817" w:rsidP="00B50817">
      <w:pPr>
        <w:jc w:val="center"/>
      </w:pPr>
    </w:p>
    <w:p w:rsidR="00B50817" w:rsidRDefault="00B50817" w:rsidP="00B50817">
      <w:r>
        <w:tab/>
        <w:t>This bill would b</w:t>
      </w:r>
      <w:r w:rsidRPr="003A4005">
        <w:t>ar</w:t>
      </w:r>
      <w:r>
        <w:t xml:space="preserve"> any right to </w:t>
      </w:r>
      <w:r w:rsidRPr="003A4005">
        <w:t xml:space="preserve">custody </w:t>
      </w:r>
      <w:r>
        <w:t>or</w:t>
      </w:r>
      <w:r w:rsidRPr="003A4005">
        <w:t xml:space="preserve"> visitation </w:t>
      </w:r>
      <w:r>
        <w:t>of</w:t>
      </w:r>
      <w:r w:rsidRPr="003A4005">
        <w:t xml:space="preserve"> a child </w:t>
      </w:r>
      <w:r>
        <w:t>for</w:t>
      </w:r>
      <w:r w:rsidRPr="003A4005">
        <w:t xml:space="preserve"> any person convicted of </w:t>
      </w:r>
      <w:r>
        <w:t xml:space="preserve">aggravated sexual assault against a victim less than </w:t>
      </w:r>
      <w:r w:rsidRPr="003A4005">
        <w:t>13</w:t>
      </w:r>
      <w:r>
        <w:t xml:space="preserve"> years old.</w:t>
      </w:r>
      <w:r w:rsidRPr="003A4005">
        <w:t xml:space="preserve"> </w:t>
      </w:r>
      <w:r>
        <w:t>Under the Criminal Code, an act of sexual penetration with a victim who is less than 13 years old constitutes aggravated sexual assault, a crime of the first degree (punishable by a term of imprisonment of 10 to 20 years, a fine of up to $200,000, or both).  A person convicted of such an offense must also register under Megan’s Law upon release from incarceration.</w:t>
      </w:r>
    </w:p>
    <w:p w:rsidR="00B50817" w:rsidRPr="00E7752C" w:rsidRDefault="00B50817" w:rsidP="00E7752C">
      <w:r>
        <w:tab/>
        <w:t xml:space="preserve">Under section 1 of P.L.1995, c.55 (C.9:2-4.1), a person convicted of aggravated sexual assault pursuant to N.J.S.2C:14-2; sexual assault pursuant to N.J.S.2C:14-2; sexual contact pursuant to N.J.S.2C:14-3; or endangering the welfare of a child pursuant to N.J.S.2C:24-4 shall not be awarded custody of or visitation rights to any minor child, </w:t>
      </w:r>
      <w:r w:rsidRPr="004662D6">
        <w:t>except upon a showing</w:t>
      </w:r>
      <w:r>
        <w:t xml:space="preserve"> by clear and convincing evidence that custody or visitation is in the best interest of the child. </w:t>
      </w:r>
      <w:r>
        <w:tab/>
        <w:t>This bill would eliminate the opportunity for a sex offender to try to show that custody or visitation is in a child’s best interest in any case where the offender’s crime was the aggravated sexual assault of a child under age 13. Under the bill, such a person could not be awarded custody or visitation of any child under any circumstances.</w:t>
      </w:r>
      <w:r w:rsidRPr="003A4005">
        <w:t xml:space="preserve"> </w:t>
      </w:r>
    </w:p>
    <w:sectPr w:rsidR="00B50817" w:rsidRPr="00E7752C" w:rsidSect="00A36A9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59B" w:rsidRDefault="000B059B">
      <w:r>
        <w:separator/>
      </w:r>
    </w:p>
  </w:endnote>
  <w:endnote w:type="continuationSeparator" w:id="0">
    <w:p w:rsidR="000B059B" w:rsidRDefault="000B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A01" w:rsidRDefault="00CB2A01" w:rsidP="00CB2A01">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967" w:rsidRPr="00921C91" w:rsidRDefault="006709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0967" w:rsidRPr="00921C91" w:rsidRDefault="00670967">
    <w:pPr>
      <w:pStyle w:val="Footer"/>
      <w:rPr>
        <w:szCs w:val="18"/>
      </w:rPr>
    </w:pPr>
  </w:p>
  <w:p w:rsidR="00670967" w:rsidRPr="00921C91" w:rsidRDefault="006709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0967" w:rsidRDefault="00670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59B" w:rsidRDefault="000B059B">
      <w:r>
        <w:separator/>
      </w:r>
    </w:p>
  </w:footnote>
  <w:footnote w:type="continuationSeparator" w:id="0">
    <w:p w:rsidR="000B059B" w:rsidRDefault="000B0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7B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6A9A" w:rsidRDefault="00A36A9A" w:rsidP="00A36A9A">
    <w:pPr>
      <w:pStyle w:val="bpuHeadSpon"/>
    </w:pPr>
    <w:r w:rsidRPr="00A36A9A">
      <w:rPr>
        <w:rStyle w:val="bpuHeadSponChar"/>
      </w:rPr>
      <w:t>A363</w:t>
    </w:r>
    <w:r>
      <w:t xml:space="preserve"> S.KEAN</w:t>
    </w:r>
    <w:r w:rsidR="00CB2A01">
      <w:t xml:space="preserve">, </w:t>
    </w:r>
    <w:r w:rsidR="00CB2A01">
      <w:t>DUNN</w:t>
    </w:r>
  </w:p>
  <w:p w:rsidR="00A36A9A" w:rsidRDefault="00A36A9A" w:rsidP="00A36A9A">
    <w:pPr>
      <w:pStyle w:val="bpuHeadSpon"/>
    </w:pPr>
    <w:r>
      <w:fldChar w:fldCharType="begin"/>
    </w:r>
    <w:r>
      <w:instrText xml:space="preserve"> PAGE  \* MERGEFORMAT </w:instrText>
    </w:r>
    <w:r>
      <w:fldChar w:fldCharType="separate"/>
    </w:r>
    <w:r w:rsidR="00480E6B">
      <w:rPr>
        <w:noProof/>
      </w:rPr>
      <w:t>3</w:t>
    </w:r>
    <w:r>
      <w:fldChar w:fldCharType="end"/>
    </w:r>
  </w:p>
  <w:p w:rsidR="00A36A9A" w:rsidRPr="00AF575C" w:rsidRDefault="00A36A9A" w:rsidP="00A36A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6A9A" w:rsidRDefault="00A36A9A" w:rsidP="00A36A9A">
    <w:pPr>
      <w:pStyle w:val="bpuHeadSpon"/>
    </w:pPr>
    <w:r w:rsidRPr="00A36A9A">
      <w:rPr>
        <w:rStyle w:val="bpuHeadSponChar"/>
      </w:rPr>
      <w:t>A363</w:t>
    </w:r>
    <w:r>
      <w:t xml:space="preserve"> S.KEAN</w:t>
    </w:r>
    <w:r w:rsidR="00CB2A01">
      <w:t xml:space="preserve">, </w:t>
    </w:r>
    <w:r w:rsidR="00CB2A01">
      <w:t>DUNN</w:t>
    </w:r>
  </w:p>
  <w:p w:rsidR="00A36A9A" w:rsidRDefault="00A36A9A" w:rsidP="00A36A9A">
    <w:pPr>
      <w:pStyle w:val="bpuHeadSpon"/>
    </w:pPr>
    <w:r>
      <w:fldChar w:fldCharType="begin"/>
    </w:r>
    <w:r>
      <w:instrText xml:space="preserve"> PAGE  \* MERGEFORMAT </w:instrText>
    </w:r>
    <w:r>
      <w:fldChar w:fldCharType="separate"/>
    </w:r>
    <w:r w:rsidR="00480E6B">
      <w:rPr>
        <w:noProof/>
      </w:rPr>
      <w:t>2</w:t>
    </w:r>
    <w:r>
      <w:fldChar w:fldCharType="end"/>
    </w:r>
  </w:p>
  <w:p w:rsidR="00A36A9A" w:rsidRDefault="00A36A9A" w:rsidP="00A36A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5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59B"/>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6BC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E6B"/>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B02"/>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967"/>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A9A"/>
    <w:rsid w:val="00A40A31"/>
    <w:rsid w:val="00A469CC"/>
    <w:rsid w:val="00A55E7F"/>
    <w:rsid w:val="00A63229"/>
    <w:rsid w:val="00A64CED"/>
    <w:rsid w:val="00A7050B"/>
    <w:rsid w:val="00A721B4"/>
    <w:rsid w:val="00A72513"/>
    <w:rsid w:val="00A95220"/>
    <w:rsid w:val="00AA2A56"/>
    <w:rsid w:val="00AA3B15"/>
    <w:rsid w:val="00AA6194"/>
    <w:rsid w:val="00AA64D0"/>
    <w:rsid w:val="00AB34EB"/>
    <w:rsid w:val="00AB4C5C"/>
    <w:rsid w:val="00AC29C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81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A0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5A5"/>
    <w:rsid w:val="00FE214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90A4DF"/>
  <w15:docId w15:val="{6D460592-ED3D-4710-AFCB-33F99CB6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6A9A"/>
  </w:style>
  <w:style w:type="paragraph" w:styleId="BalloonText">
    <w:name w:val="Balloon Text"/>
    <w:basedOn w:val="Normal"/>
    <w:link w:val="BalloonTextChar"/>
    <w:semiHidden/>
    <w:unhideWhenUsed/>
    <w:rsid w:val="00256B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6B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5FF7B-A57D-4E57-8745-0E6193CFE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844</Words>
  <Characters>4107</Characters>
  <Application>Microsoft Office Word</Application>
  <DocSecurity>0</DocSecurity>
  <Lines>111</Lines>
  <Paragraphs>28</Paragraphs>
  <ScaleCrop>false</ScaleCrop>
  <HeadingPairs>
    <vt:vector size="2" baseType="variant">
      <vt:variant>
        <vt:lpstr>Title</vt:lpstr>
      </vt:variant>
      <vt:variant>
        <vt:i4>1</vt:i4>
      </vt:variant>
    </vt:vector>
  </HeadingPairs>
  <TitlesOfParts>
    <vt:vector size="1" baseType="lpstr">
      <vt:lpstr>A363</vt:lpstr>
    </vt:vector>
  </TitlesOfParts>
  <Manager>R56</Manager>
  <Company>OFFICE of LEGISLATIVE SERVICES</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dc:title>
  <dc:creator>Assemblyman  KEAN</dc:creator>
  <cp:keywords>A363|3|SG |310|0|0|!|0|</cp:keywords>
  <dc:description>PREFILED 2020</dc:description>
  <cp:lastModifiedBy>Todaro, Vivian</cp:lastModifiedBy>
  <cp:revision>2</cp:revision>
  <cp:lastPrinted>2020-05-04T16:02:00Z</cp:lastPrinted>
  <dcterms:created xsi:type="dcterms:W3CDTF">2020-05-04T16:03:00Z</dcterms:created>
  <dcterms:modified xsi:type="dcterms:W3CDTF">2020-05-04T16:03:00Z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