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4FE" w:rsidRDefault="000B24FE" w:rsidP="000B24FE">
      <w:pPr>
        <w:pStyle w:val="bpuBill"/>
      </w:pPr>
      <w:bookmarkStart w:id="0" w:name="bpuFrontPg"/>
      <w:bookmarkStart w:id="1" w:name="_GoBack"/>
      <w:bookmarkEnd w:id="0"/>
      <w:bookmarkEnd w:id="1"/>
      <w:r>
        <w:t xml:space="preserve">ASSEMBLY, No. 490 </w:t>
      </w:r>
    </w:p>
    <w:p w:rsidR="000B24FE" w:rsidRPr="000B24FE" w:rsidRDefault="000B24FE" w:rsidP="000B24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632" r:id="rId8"/>
        </w:object>
      </w:r>
    </w:p>
    <w:p w:rsidR="000B24FE" w:rsidRDefault="000B24FE" w:rsidP="000B24FE">
      <w:pPr>
        <w:pStyle w:val="bpuState"/>
      </w:pPr>
      <w:r>
        <w:t>STATE OF NEW JERSEY</w:t>
      </w:r>
    </w:p>
    <w:p w:rsidR="000B24FE" w:rsidRDefault="000B24FE" w:rsidP="000B24FE">
      <w:pPr>
        <w:pStyle w:val="bpuLegislature"/>
      </w:pPr>
      <w:r>
        <w:t>219th LEGISLATURE</w:t>
      </w:r>
    </w:p>
    <w:p w:rsidR="000B24FE" w:rsidRDefault="000B24FE" w:rsidP="000B24FE">
      <w:pPr>
        <w:pStyle w:val="bpuWpGraphic"/>
      </w:pPr>
      <w:r>
        <w:object w:dxaOrig="8985" w:dyaOrig="255">
          <v:shape id="_x0000_i1026" type="#_x0000_t75" style="width:6in;height:12pt" o:ole="">
            <v:imagedata r:id="rId7" o:title=""/>
          </v:shape>
          <o:OLEObject Type="Embed" ProgID="WPWin6.1" ShapeID="_x0000_i1026" DrawAspect="Content" ObjectID="_1637669633" r:id="rId9"/>
        </w:object>
      </w:r>
      <w:r>
        <w:t xml:space="preserve">  </w:t>
      </w:r>
    </w:p>
    <w:p w:rsidR="000B24FE" w:rsidRDefault="000B24FE" w:rsidP="000B24FE">
      <w:pPr>
        <w:pStyle w:val="bpuIntro"/>
      </w:pPr>
      <w:r>
        <w:t>PRE-FILED FOR INTRODUCTION IN THE 2020 SESSION</w:t>
      </w:r>
    </w:p>
    <w:p w:rsidR="000B24FE" w:rsidRDefault="000B24FE" w:rsidP="000B24FE">
      <w:pPr>
        <w:pStyle w:val="bpuIntro"/>
      </w:pPr>
    </w:p>
    <w:p w:rsidR="000B24FE" w:rsidRDefault="000B24FE" w:rsidP="000B24FE">
      <w:pPr>
        <w:pStyle w:val="bpuIntro"/>
        <w:sectPr w:rsidR="000B24FE" w:rsidSect="000B24FE">
          <w:headerReference w:type="even" r:id="rId10"/>
          <w:headerReference w:type="default" r:id="rId11"/>
          <w:pgSz w:w="12240" w:h="20160" w:code="5"/>
          <w:pgMar w:top="2160" w:right="1440" w:bottom="1440" w:left="1440" w:header="720" w:footer="720" w:gutter="0"/>
          <w:pgNumType w:start="1"/>
          <w:cols w:space="720"/>
          <w:docGrid w:linePitch="360"/>
        </w:sectPr>
      </w:pPr>
    </w:p>
    <w:p w:rsidR="000B24FE" w:rsidRDefault="000B24FE" w:rsidP="000B24FE">
      <w:pPr>
        <w:pStyle w:val="bpuIntro"/>
      </w:pPr>
    </w:p>
    <w:p w:rsidR="000B24FE" w:rsidRDefault="000B24FE" w:rsidP="000B24FE">
      <w:pPr>
        <w:pStyle w:val="bpuSponsor"/>
      </w:pPr>
      <w:r>
        <w:t>Sponsored by:</w:t>
      </w:r>
    </w:p>
    <w:p w:rsidR="000B24FE" w:rsidRDefault="000B24FE" w:rsidP="000B24FE">
      <w:pPr>
        <w:pStyle w:val="bpuSponsor"/>
      </w:pPr>
      <w:r>
        <w:t>Assemblyman  JAY WEBBER</w:t>
      </w:r>
    </w:p>
    <w:p w:rsidR="000B24FE" w:rsidRDefault="000B24FE" w:rsidP="000B24FE">
      <w:pPr>
        <w:pStyle w:val="bpuSponsor"/>
      </w:pPr>
      <w:r>
        <w:t>District 26 (Essex, Morris and Passaic)</w:t>
      </w:r>
    </w:p>
    <w:p w:rsidR="000B24FE" w:rsidRDefault="000B24FE" w:rsidP="000B24FE">
      <w:pPr>
        <w:pStyle w:val="bpuSponsor"/>
      </w:pPr>
      <w:r>
        <w:t>Assemblyman  JAMEL C. HOLLEY</w:t>
      </w:r>
    </w:p>
    <w:p w:rsidR="000B24FE" w:rsidRDefault="000B24FE" w:rsidP="000B24FE">
      <w:pPr>
        <w:pStyle w:val="bpuSponsor"/>
      </w:pPr>
      <w:r>
        <w:t>District 20 (Union)</w:t>
      </w:r>
    </w:p>
    <w:p w:rsidR="000B24FE" w:rsidRDefault="000B24FE" w:rsidP="000B24FE">
      <w:pPr>
        <w:pStyle w:val="bpuSponsor"/>
      </w:pPr>
      <w:r>
        <w:t>Assemblywoman  ANNETTE CHAPARRO</w:t>
      </w:r>
    </w:p>
    <w:p w:rsidR="000B24FE" w:rsidRDefault="000B24FE" w:rsidP="000B24FE">
      <w:pPr>
        <w:pStyle w:val="bpuSponsor"/>
      </w:pPr>
      <w:r>
        <w:t>District 33 (Hudson)</w:t>
      </w:r>
    </w:p>
    <w:p w:rsidR="000B24FE" w:rsidRDefault="000B24FE" w:rsidP="000B24FE">
      <w:pPr>
        <w:pStyle w:val="bpuSponsor"/>
      </w:pPr>
    </w:p>
    <w:p w:rsidR="000B24FE" w:rsidRDefault="000B24FE" w:rsidP="000B24FE">
      <w:pPr>
        <w:pStyle w:val="bpuSponsor"/>
      </w:pPr>
    </w:p>
    <w:p w:rsidR="000B24FE" w:rsidRDefault="000B24FE" w:rsidP="000B24FE">
      <w:pPr>
        <w:pStyle w:val="bpuSponsor"/>
      </w:pPr>
    </w:p>
    <w:p w:rsidR="000B24FE" w:rsidRDefault="000B24FE" w:rsidP="000B24FE">
      <w:pPr>
        <w:pStyle w:val="bpuSponsor"/>
      </w:pPr>
    </w:p>
    <w:p w:rsidR="000B24FE" w:rsidRDefault="000B24FE" w:rsidP="000B24FE">
      <w:pPr>
        <w:pStyle w:val="bpuSponsor"/>
      </w:pPr>
      <w:r>
        <w:t>SYNOPSIS</w:t>
      </w:r>
    </w:p>
    <w:p w:rsidR="000B24FE" w:rsidRDefault="000B24FE" w:rsidP="000B24FE">
      <w:pPr>
        <w:pStyle w:val="bpuNormText"/>
      </w:pPr>
      <w:r>
        <w:tab/>
        <w:t xml:space="preserve">Permits landlords to take actions after death of tenant in certain situations. </w:t>
      </w:r>
    </w:p>
    <w:p w:rsidR="000B24FE" w:rsidRDefault="000B24FE" w:rsidP="000B24FE">
      <w:pPr>
        <w:pStyle w:val="bpuNormText"/>
      </w:pPr>
    </w:p>
    <w:p w:rsidR="000B24FE" w:rsidRDefault="000B24FE" w:rsidP="000B24FE">
      <w:pPr>
        <w:pStyle w:val="bpuSponsor"/>
      </w:pPr>
      <w:r>
        <w:t xml:space="preserve">CURRENT VERSION OF TEXT </w:t>
      </w:r>
    </w:p>
    <w:p w:rsidR="000B24FE" w:rsidRDefault="000B24FE" w:rsidP="000B24FE">
      <w:pPr>
        <w:pStyle w:val="bpuNormText"/>
      </w:pPr>
      <w:r>
        <w:tab/>
        <w:t>Introduced Pending Technical Review by Legislative Counsel.</w:t>
      </w:r>
    </w:p>
    <w:p w:rsidR="000B24FE" w:rsidRDefault="000B24FE" w:rsidP="000B24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24FE" w:rsidRDefault="000B24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24FE" w:rsidSect="000B24FE">
          <w:type w:val="continuous"/>
          <w:pgSz w:w="12240" w:h="20160" w:code="5"/>
          <w:pgMar w:top="2160" w:right="2275" w:bottom="1440" w:left="2275" w:header="72" w:footer="720" w:gutter="0"/>
          <w:pgNumType w:start="1"/>
          <w:cols w:space="720"/>
          <w:docGrid w:linePitch="360"/>
        </w:sectPr>
      </w:pPr>
    </w:p>
    <w:p w:rsidR="00351CEB" w:rsidRPr="00677316" w:rsidRDefault="00351CEB" w:rsidP="00351CEB">
      <w:pPr>
        <w:pStyle w:val="HangingAnAct"/>
        <w:rPr>
          <w:rStyle w:val="HangingAnActChar"/>
        </w:rPr>
      </w:pPr>
      <w:r w:rsidRPr="00351CEB">
        <w:rPr>
          <w:rStyle w:val="BillHead"/>
        </w:rPr>
        <w:lastRenderedPageBreak/>
        <w:t>An Act</w:t>
      </w:r>
      <w:r w:rsidRPr="006B7FA7">
        <w:rPr>
          <w:rStyle w:val="HangingAnActChar"/>
        </w:rPr>
        <w:t xml:space="preserve"> </w:t>
      </w:r>
      <w:r>
        <w:t>concerning deceased tenants and amending P.L.1974, c.49 and P.L.1999, c.340.</w:t>
      </w:r>
    </w:p>
    <w:p w:rsidR="00351CEB" w:rsidRPr="00D71D68" w:rsidRDefault="00351CEB" w:rsidP="00351CEB"/>
    <w:p w:rsidR="00351CEB" w:rsidRPr="00AA7880" w:rsidRDefault="00351CEB" w:rsidP="00351CE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51CEB" w:rsidRDefault="00351CEB" w:rsidP="00351CEB"/>
    <w:p w:rsidR="00351CEB" w:rsidRPr="00311A22" w:rsidRDefault="00351CEB" w:rsidP="00351CEB">
      <w:r>
        <w:tab/>
        <w:t>1.</w:t>
      </w:r>
      <w:r>
        <w:tab/>
        <w:t>Section 2 of P.L.1974, c.49 (C.</w:t>
      </w:r>
      <w:r w:rsidRPr="00311A22">
        <w:t>2A:18-61.1</w:t>
      </w:r>
      <w:r>
        <w:t>) is amended to read as follows:</w:t>
      </w:r>
    </w:p>
    <w:p w:rsidR="00351CEB" w:rsidRDefault="00351CEB" w:rsidP="00351CEB">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351CEB" w:rsidRDefault="00351CEB" w:rsidP="00351CEB">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351CEB" w:rsidRDefault="00351CEB" w:rsidP="00351CEB">
      <w:r>
        <w:tab/>
        <w:t>b.</w:t>
      </w:r>
      <w:r>
        <w:tab/>
        <w:t>The person has continued to be, after written notice to cease, so disorderly as to destroy the peace and quiet of the occupants or other tenants living in said house or neighborhood.</w:t>
      </w:r>
    </w:p>
    <w:p w:rsidR="00351CEB" w:rsidRDefault="00351CEB" w:rsidP="00351CEB">
      <w:r>
        <w:tab/>
        <w:t>c.</w:t>
      </w:r>
      <w:r>
        <w:tab/>
        <w:t>The person has willfully or by reason of gross negligence caused or allowed destruction, damage or injury to the premises.</w:t>
      </w:r>
    </w:p>
    <w:p w:rsidR="00351CEB" w:rsidRDefault="00351CEB" w:rsidP="00351CEB">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351CEB" w:rsidRDefault="000B24FE" w:rsidP="00351CEB">
      <w:r>
        <w:tab/>
        <w:t>e.</w:t>
      </w:r>
      <w:r>
        <w:tab/>
      </w:r>
      <w:r w:rsidR="00351CEB">
        <w:t>(1)</w:t>
      </w:r>
      <w:r>
        <w:t xml:space="preserve"> </w:t>
      </w:r>
      <w:r w:rsidR="00351CEB">
        <w:t xml:space="preserve"> The person has continued, after written notice to cease, to substantially violate or breach any of the covenants or agreements contained in the lease for the premises where a right of </w:t>
      </w:r>
      <w:r w:rsidR="00351CEB">
        <w:lastRenderedPageBreak/>
        <w:t>reentry is reserved to the landlord in the lease for a violation of such covenant or agreement, provided that such covenant or agreement is reasonable and was contained in the lease at the beginning of the lease term.</w:t>
      </w:r>
    </w:p>
    <w:p w:rsidR="00351CEB" w:rsidRDefault="00351CEB" w:rsidP="00351CEB">
      <w:r>
        <w:tab/>
        <w:t>(2)</w:t>
      </w:r>
      <w:r>
        <w:tab/>
        <w:t>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351CEB" w:rsidRDefault="00351CEB" w:rsidP="00351CEB">
      <w:r>
        <w:tab/>
        <w:t>f.</w:t>
      </w:r>
      <w:r>
        <w:tab/>
        <w:t>The person has failed to pay rent after a valid notice to quit and notice of increase of said rent, provided the increase in rent is not unconscionable and complies with any and all other laws or municipal ordinances governing rent increases.</w:t>
      </w:r>
    </w:p>
    <w:p w:rsidR="00351CEB" w:rsidRDefault="00351CEB" w:rsidP="00351CEB">
      <w:r>
        <w:tab/>
        <w:t>g.</w:t>
      </w:r>
      <w:r>
        <w:tab/>
        <w:t>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this subsection, no warrant for possession shall be issued until P.L.1967, c.79 (C.52:31B-1 et seq.) and P.L.1971, c.362 (C.20:4-1 et seq.) have been complied with.</w:t>
      </w:r>
    </w:p>
    <w:p w:rsidR="00351CEB" w:rsidRDefault="00351CEB" w:rsidP="00351CEB">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351CEB" w:rsidRDefault="00351CEB" w:rsidP="00351CEB">
      <w:r>
        <w:lastRenderedPageBreak/>
        <w:tab/>
      </w:r>
      <w:proofErr w:type="spellStart"/>
      <w:r>
        <w:t>i</w:t>
      </w:r>
      <w:proofErr w:type="spellEnd"/>
      <w:r>
        <w:t>.</w:t>
      </w:r>
      <w:r>
        <w:tab/>
        <w:t>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and does not substantially reduce the rights and privileges to which the tenant was entitled prior to the conversion.</w:t>
      </w:r>
    </w:p>
    <w:p w:rsidR="00351CEB" w:rsidRDefault="00351CEB" w:rsidP="00351CEB">
      <w:r>
        <w:tab/>
        <w:t>j.</w:t>
      </w:r>
      <w:r>
        <w:tab/>
        <w:t>The person, after written notice to cease, has habitually and without legal justification failed to pay rent which is due and owing.</w:t>
      </w:r>
    </w:p>
    <w:p w:rsidR="00351CEB" w:rsidRDefault="00351CEB" w:rsidP="00351CEB">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351CEB" w:rsidRDefault="00863877" w:rsidP="00351CEB">
      <w:r>
        <w:tab/>
        <w:t>l.</w:t>
      </w:r>
      <w:r>
        <w:tab/>
      </w:r>
      <w:r w:rsidR="00351CEB">
        <w:t xml:space="preserve">(1)  The owner of a building or mobile home park, which is constructed as or being converted to a condominium, cooperative or fee simple ownership, seeks to evict a tenant or </w:t>
      </w:r>
      <w:proofErr w:type="spellStart"/>
      <w:r w:rsidR="00351CEB">
        <w:t>sublessee</w:t>
      </w:r>
      <w:proofErr w:type="spellEnd"/>
      <w:r w:rsidR="00351CEB">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351CEB" w:rsidRDefault="00351CEB" w:rsidP="00351CEB">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351CEB" w:rsidRDefault="00351CEB" w:rsidP="00351CEB">
      <w:r>
        <w:lastRenderedPageBreak/>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351CEB" w:rsidRDefault="00351CEB" w:rsidP="00351CEB">
      <w:r>
        <w:tab/>
        <w:t>m.</w:t>
      </w:r>
      <w:r>
        <w:tab/>
        <w:t>The landlord or owner conditioned the tenancy upon and in consideration for the tenant's employment by the landlord or owner as superintendent, janitor or in some other capacity and such employment is being terminated.</w:t>
      </w:r>
    </w:p>
    <w:p w:rsidR="00351CEB" w:rsidRDefault="00351CEB" w:rsidP="00351CEB">
      <w:r>
        <w:tab/>
        <w:t>n.</w:t>
      </w:r>
      <w:r>
        <w:tab/>
        <w:t>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351CEB" w:rsidRDefault="00351CEB" w:rsidP="00351CEB">
      <w:r>
        <w:tab/>
        <w:t>o.</w:t>
      </w:r>
      <w:r>
        <w:tab/>
        <w:t>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351CEB" w:rsidRDefault="00351CEB" w:rsidP="00351CEB">
      <w:r>
        <w:lastRenderedPageBreak/>
        <w:tab/>
        <w:t>p.</w:t>
      </w:r>
      <w:r>
        <w:tab/>
        <w:t>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351CEB" w:rsidRDefault="00351CEB" w:rsidP="00351CEB">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351CEB" w:rsidRDefault="00351CEB" w:rsidP="00351CEB">
      <w:r>
        <w:tab/>
        <w:t>r.</w:t>
      </w:r>
      <w:r>
        <w:tab/>
        <w:t xml:space="preserve">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w:t>
      </w:r>
      <w:r>
        <w:lastRenderedPageBreak/>
        <w:t>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351CEB" w:rsidRPr="00311A22" w:rsidRDefault="00351CEB" w:rsidP="00351CEB">
      <w:pPr>
        <w:rPr>
          <w:u w:val="single"/>
        </w:rPr>
      </w:pPr>
      <w:r>
        <w:tab/>
      </w:r>
      <w:r>
        <w:rPr>
          <w:u w:val="single"/>
        </w:rPr>
        <w:t>s.</w:t>
      </w:r>
      <w:r>
        <w:rPr>
          <w:u w:val="single"/>
        </w:rPr>
        <w:tab/>
        <w:t>The tenant has died and no executor, administrator, or representative of the estate has contacted the landlord as of the date of the landlord’s filing for removal, which shall be no sooner than 21</w:t>
      </w:r>
      <w:r w:rsidRPr="00C67469">
        <w:rPr>
          <w:u w:val="single"/>
        </w:rPr>
        <w:t xml:space="preserve"> </w:t>
      </w:r>
      <w:r>
        <w:rPr>
          <w:u w:val="single"/>
        </w:rPr>
        <w:t xml:space="preserve">days after the death of the tenant. </w:t>
      </w:r>
    </w:p>
    <w:p w:rsidR="00351CEB" w:rsidRDefault="00351CEB" w:rsidP="00351CEB">
      <w:r>
        <w:tab/>
        <w:t>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351CEB" w:rsidRDefault="00351CEB" w:rsidP="00351CEB">
      <w:r>
        <w:t>(</w:t>
      </w:r>
      <w:proofErr w:type="spellStart"/>
      <w:r>
        <w:t>cf</w:t>
      </w:r>
      <w:proofErr w:type="spellEnd"/>
      <w:r>
        <w:t>: P.L.2013, c.51, s.7)</w:t>
      </w:r>
    </w:p>
    <w:p w:rsidR="00351CEB" w:rsidRDefault="00351CEB" w:rsidP="00351CEB"/>
    <w:p w:rsidR="00351CEB" w:rsidRDefault="00863877" w:rsidP="00351CEB">
      <w:r>
        <w:tab/>
        <w:t>2.</w:t>
      </w:r>
      <w:r>
        <w:tab/>
      </w:r>
      <w:r w:rsidR="00351CEB">
        <w:t>Section 3 of P.L.1974, c.49 (C.2A:18-61.2) is amended to read as follows:</w:t>
      </w:r>
    </w:p>
    <w:p w:rsidR="00351CEB" w:rsidRDefault="00351CEB" w:rsidP="00351CEB">
      <w:r>
        <w:tab/>
        <w:t>3.</w:t>
      </w:r>
      <w:r>
        <w:tab/>
        <w:t>No judgment of possession shall be entered for any premises covered by section 2 of this act, except in the nonpayment of rent under subsection a. or f. of section 2</w:t>
      </w:r>
      <w:r>
        <w:rPr>
          <w:u w:val="single"/>
        </w:rPr>
        <w:t xml:space="preserve">, or in the case of a deceased tenant under subsection </w:t>
      </w:r>
      <w:proofErr w:type="spellStart"/>
      <w:r>
        <w:rPr>
          <w:u w:val="single"/>
        </w:rPr>
        <w:t>i</w:t>
      </w:r>
      <w:proofErr w:type="spellEnd"/>
      <w:r>
        <w:rPr>
          <w:u w:val="single"/>
        </w:rPr>
        <w:t>. of this section</w:t>
      </w:r>
      <w:r>
        <w:t>, unless the landlord has made written demand and given written notice for delivery of possession of the premises.  The following notice shall be required:</w:t>
      </w:r>
    </w:p>
    <w:p w:rsidR="00351CEB" w:rsidRDefault="00351CEB" w:rsidP="00351CEB">
      <w:r>
        <w:tab/>
        <w:t>a.</w:t>
      </w:r>
      <w:r>
        <w:tab/>
        <w:t>For an action alleging disorderly conduct under subsection b. of section 2, or injury to the premises under subsection c. of section 2, or any grounds under subsection m., n., o., p., q., or r. of section 2, three days' notice prior to the institution of the action for possession;</w:t>
      </w:r>
    </w:p>
    <w:p w:rsidR="00351CEB" w:rsidRDefault="00351CEB" w:rsidP="00351CEB">
      <w:r>
        <w:tab/>
        <w:t>b.</w:t>
      </w:r>
      <w:r>
        <w:tab/>
        <w:t>For an action alleging continued violation of rules and regulations under subsection d. of section 2, or substantial breach of covenant under subsection e. of section 2, or habitual failure to pay rent, one month's notice prior to the institution of the action for possession;</w:t>
      </w:r>
    </w:p>
    <w:p w:rsidR="00351CEB" w:rsidRDefault="00351CEB" w:rsidP="00351CEB">
      <w:r>
        <w:tab/>
        <w:t>c.</w:t>
      </w:r>
      <w:r>
        <w:tab/>
        <w:t>For an action alleging any grounds under subsection g. of section 2, three months' notice prior to the institution of the action;</w:t>
      </w:r>
    </w:p>
    <w:p w:rsidR="00351CEB" w:rsidRDefault="00351CEB" w:rsidP="00351CEB">
      <w:r>
        <w:tab/>
        <w:t>d.</w:t>
      </w:r>
      <w:r>
        <w:tab/>
        <w:t>For an action alleging permanent retirement under subsection h. of section 2, 18 months' notice prior to the institution of the action and, provided that, where there is a lease in effect, no action may be instituted until the lease expires;</w:t>
      </w:r>
    </w:p>
    <w:p w:rsidR="00351CEB" w:rsidRDefault="00351CEB" w:rsidP="00351CEB">
      <w:r>
        <w:tab/>
        <w:t>e.</w:t>
      </w:r>
      <w:r>
        <w:tab/>
        <w:t xml:space="preserve">For an action alleging refusal of acceptance of reasonable lease changes under subsection </w:t>
      </w:r>
      <w:proofErr w:type="spellStart"/>
      <w:r>
        <w:t>i</w:t>
      </w:r>
      <w:proofErr w:type="spellEnd"/>
      <w:r>
        <w:t>. of section 2, one month's notice prior to institution of action;</w:t>
      </w:r>
    </w:p>
    <w:p w:rsidR="00351CEB" w:rsidRDefault="00351CEB" w:rsidP="00351CEB">
      <w:r>
        <w:lastRenderedPageBreak/>
        <w:tab/>
        <w:t>f.</w:t>
      </w:r>
      <w:r>
        <w:tab/>
        <w:t>For an action alleging any grounds under subsection l. of section 2, two months' notice prior to the institution of the action and, provided that where there is a written lease in effect no action shall be instituted until the lease expires;</w:t>
      </w:r>
    </w:p>
    <w:p w:rsidR="00351CEB" w:rsidRDefault="00351CEB" w:rsidP="00351CEB">
      <w:r>
        <w:tab/>
        <w:t>g.</w:t>
      </w:r>
      <w:r>
        <w:tab/>
        <w:t>For an action alleging any grounds under subsection k. of section 2, three years' notice prior to the institution of action, and provided that where there is a written lease in effect, no action shall be instituted until the lease expires;</w:t>
      </w:r>
    </w:p>
    <w:p w:rsidR="00351CEB" w:rsidRDefault="00351CEB" w:rsidP="00351CEB">
      <w:r>
        <w:tab/>
        <w:t>h.</w:t>
      </w:r>
      <w:r>
        <w:tab/>
        <w:t>In public housing under the control of a public housing authority or redevelopment agency, for an action alleging substantial breach of contract under paragraph (2) of subsection e. of section 2, the period of notice required prior to the institution of an action for possession shall be in accordance with federal regulations pertaining to public housing leases.</w:t>
      </w:r>
    </w:p>
    <w:p w:rsidR="00351CEB" w:rsidRDefault="00351CEB" w:rsidP="00351CEB">
      <w:r>
        <w:tab/>
        <w:t>The notice in each of the foregoing instances shall specify in detail the cause of the termination of the tenancy and shall be served either personally upon the tenant or lessee or such person in possession by giving him a copy thereof, or by leaving a copy thereof at his usual place of abode with some member of his family above the age of 14 years, or by certified mail; if the certified letter is not claimed, notice shall be sent by regular mail.</w:t>
      </w:r>
    </w:p>
    <w:p w:rsidR="00351CEB" w:rsidRPr="002E26C1" w:rsidRDefault="00351CEB" w:rsidP="00351CEB">
      <w:r>
        <w:tab/>
      </w:r>
      <w:proofErr w:type="spellStart"/>
      <w:r>
        <w:rPr>
          <w:u w:val="single"/>
        </w:rPr>
        <w:t>i</w:t>
      </w:r>
      <w:proofErr w:type="spellEnd"/>
      <w:r>
        <w:rPr>
          <w:u w:val="single"/>
        </w:rPr>
        <w:t>.</w:t>
      </w:r>
      <w:r>
        <w:rPr>
          <w:u w:val="single"/>
        </w:rPr>
        <w:tab/>
        <w:t>If a lease is terminated based upon the death of a tenant, and no executor, administrator, or representative of the estate has contacted the landlord, then the landlord may</w:t>
      </w:r>
      <w:r w:rsidRPr="00C67469">
        <w:rPr>
          <w:u w:val="single"/>
        </w:rPr>
        <w:t xml:space="preserve"> </w:t>
      </w:r>
      <w:r>
        <w:rPr>
          <w:u w:val="single"/>
        </w:rPr>
        <w:t>apply for a warrant of removal in a summary process no sooner than the 21st</w:t>
      </w:r>
      <w:r w:rsidRPr="00C67469">
        <w:rPr>
          <w:u w:val="single"/>
        </w:rPr>
        <w:t xml:space="preserve"> </w:t>
      </w:r>
      <w:r>
        <w:rPr>
          <w:u w:val="single"/>
        </w:rPr>
        <w:t xml:space="preserve">day next following the death of the tenant.  A summary application for a warrant for removal under this subsection shall include an affidavit from the landlord affirming that there has been no contact with an executor, administrator, or representative of the estate, and that no known executor, administrator, or representative exists.  The application shall also include an official copy of the tenant’s death certificate. If the landlord has been contacted by an executor, administrator, or representative of the estate and proceeds with a summary process under this subsection, bad faith shall be presumed and the landlord may be held liable for treble damages and reasonable </w:t>
      </w:r>
      <w:proofErr w:type="spellStart"/>
      <w:r>
        <w:rPr>
          <w:u w:val="single"/>
        </w:rPr>
        <w:t>attorneys</w:t>
      </w:r>
      <w:proofErr w:type="spellEnd"/>
      <w:r>
        <w:rPr>
          <w:u w:val="single"/>
        </w:rPr>
        <w:t xml:space="preserve"> fees for any property wrongfully disposed.</w:t>
      </w:r>
      <w:r>
        <w:t xml:space="preserve">  </w:t>
      </w:r>
      <w:r>
        <w:rPr>
          <w:u w:val="single"/>
        </w:rPr>
        <w:t>The landlord shall not be required to accept any new occupants who were not approved in the original lease without the new occupants going through the same approval process as any other tenant signing a lease.</w:t>
      </w:r>
      <w:r>
        <w:t xml:space="preserve">  </w:t>
      </w:r>
    </w:p>
    <w:p w:rsidR="00351CEB" w:rsidRDefault="00351CEB" w:rsidP="00351CEB">
      <w:r>
        <w:t>(</w:t>
      </w:r>
      <w:proofErr w:type="spellStart"/>
      <w:r>
        <w:t>cf</w:t>
      </w:r>
      <w:proofErr w:type="spellEnd"/>
      <w:r>
        <w:t>: P.L.</w:t>
      </w:r>
      <w:r w:rsidRPr="003D6373">
        <w:t>2013, c.51, s.8</w:t>
      </w:r>
      <w:r>
        <w:t>)</w:t>
      </w:r>
    </w:p>
    <w:p w:rsidR="00351CEB" w:rsidRDefault="00351CEB" w:rsidP="00351CEB"/>
    <w:p w:rsidR="00351CEB" w:rsidRPr="001D5C50" w:rsidRDefault="00351CEB" w:rsidP="00351CEB">
      <w:r>
        <w:tab/>
        <w:t>3.</w:t>
      </w:r>
      <w:r>
        <w:tab/>
        <w:t>Section 1 of P.L.1999, c.340 (C.</w:t>
      </w:r>
      <w:r w:rsidRPr="001D5C50">
        <w:t>2A:18-72</w:t>
      </w:r>
      <w:r>
        <w:t>) is amended to read as follows:</w:t>
      </w:r>
    </w:p>
    <w:p w:rsidR="00351CEB" w:rsidRDefault="00351CEB" w:rsidP="00351CEB">
      <w:r>
        <w:tab/>
        <w:t>1.</w:t>
      </w:r>
      <w:r>
        <w:tab/>
        <w:t xml:space="preserve">A landlord of commercial or residential property, in the manner provided by P.L.1999, c.340 (C.2A:18-72 et al.), may dispose of any tangible goods, chattels, manufactured or mobile homes or other personal property left upon a premises by a tenant </w:t>
      </w:r>
      <w:r>
        <w:lastRenderedPageBreak/>
        <w:t>after giving notice as required by section 2 of P.L.1999, c.340 (C.2A:18-73), only if the landlord reasonably believes under all the circumstances that the tenant has left the property upon the premises with no intention of asserting any further claim to the premises or the property and:</w:t>
      </w:r>
    </w:p>
    <w:p w:rsidR="00351CEB" w:rsidRDefault="00351CEB" w:rsidP="00351CEB">
      <w:r>
        <w:tab/>
        <w:t>a.</w:t>
      </w:r>
      <w:r>
        <w:tab/>
        <w:t xml:space="preserve">A warrant for removal has been executed and possession of the premises has been restored to the landlord; </w:t>
      </w:r>
      <w:r w:rsidRPr="004624AC">
        <w:rPr>
          <w:rFonts w:ascii="Albertus Extra Bold" w:hAnsi="Albertus Extra Bold"/>
          <w:b/>
        </w:rPr>
        <w:t>[</w:t>
      </w:r>
      <w:r>
        <w:t>or</w:t>
      </w:r>
      <w:r w:rsidRPr="004624AC">
        <w:rPr>
          <w:rFonts w:ascii="Albertus Extra Bold" w:hAnsi="Albertus Extra Bold"/>
          <w:b/>
        </w:rPr>
        <w:t>]</w:t>
      </w:r>
    </w:p>
    <w:p w:rsidR="00351CEB" w:rsidRDefault="00351CEB" w:rsidP="00351CEB">
      <w:pPr>
        <w:rPr>
          <w:u w:val="single"/>
        </w:rPr>
      </w:pPr>
      <w:r>
        <w:tab/>
        <w:t>b.</w:t>
      </w:r>
      <w:r>
        <w:tab/>
        <w:t>The tenant has given written notice that he or she is voluntarily relinquishing possession of the premises</w:t>
      </w:r>
      <w:r>
        <w:rPr>
          <w:u w:val="single"/>
        </w:rPr>
        <w:t>; or</w:t>
      </w:r>
    </w:p>
    <w:p w:rsidR="00351CEB" w:rsidRDefault="00351CEB" w:rsidP="00351CEB">
      <w:r>
        <w:tab/>
      </w:r>
      <w:r>
        <w:rPr>
          <w:u w:val="single"/>
        </w:rPr>
        <w:t>c.</w:t>
      </w:r>
      <w:r>
        <w:rPr>
          <w:u w:val="single"/>
        </w:rPr>
        <w:tab/>
        <w:t>The tenant has died and landlord has not been contacted by the executor, representative,</w:t>
      </w:r>
      <w:r w:rsidRPr="00C67469">
        <w:rPr>
          <w:u w:val="single"/>
        </w:rPr>
        <w:t xml:space="preserve"> </w:t>
      </w:r>
      <w:r>
        <w:rPr>
          <w:u w:val="single"/>
        </w:rPr>
        <w:t>or administer of the estate within 21</w:t>
      </w:r>
      <w:r w:rsidRPr="005F1F1C">
        <w:t xml:space="preserve"> </w:t>
      </w:r>
      <w:r>
        <w:rPr>
          <w:u w:val="single"/>
        </w:rPr>
        <w:t>days of the death</w:t>
      </w:r>
      <w:r>
        <w:t>.</w:t>
      </w:r>
    </w:p>
    <w:p w:rsidR="00351CEB" w:rsidRDefault="00351CEB" w:rsidP="00351CEB">
      <w:r>
        <w:tab/>
        <w:t>The provisions of P.L.1999, c.340 (C.2A:18-72 et al.) shall not apply to the disposal of tenant property left on nonresidential rental property if there is a lease in effect which has been duly executed by all parties which contains specific terms and conditions for the disposal of tenant property.</w:t>
      </w:r>
    </w:p>
    <w:p w:rsidR="00351CEB" w:rsidRDefault="00351CEB" w:rsidP="00351CEB">
      <w:r>
        <w:t>(</w:t>
      </w:r>
      <w:proofErr w:type="spellStart"/>
      <w:r>
        <w:t>cf</w:t>
      </w:r>
      <w:proofErr w:type="spellEnd"/>
      <w:r>
        <w:t>: P.L.2001, c.51, s.1)</w:t>
      </w:r>
    </w:p>
    <w:p w:rsidR="00351CEB" w:rsidRDefault="00351CEB" w:rsidP="00351CEB"/>
    <w:p w:rsidR="00351CEB" w:rsidRPr="001D5C50" w:rsidRDefault="00351CEB" w:rsidP="00351CEB">
      <w:r>
        <w:tab/>
        <w:t>4.</w:t>
      </w:r>
      <w:r>
        <w:tab/>
        <w:t>Section 2 of P.L.1999, c.340 (C.</w:t>
      </w:r>
      <w:r w:rsidRPr="001D5C50">
        <w:t>2A:18-7</w:t>
      </w:r>
      <w:r>
        <w:t>3) is amended to read as follows</w:t>
      </w:r>
    </w:p>
    <w:p w:rsidR="00351CEB" w:rsidRDefault="00351CEB" w:rsidP="00351CEB">
      <w:r>
        <w:tab/>
        <w:t>2.</w:t>
      </w:r>
      <w:r>
        <w:tab/>
      </w:r>
      <w:r>
        <w:rPr>
          <w:u w:val="single"/>
        </w:rPr>
        <w:t>a.</w:t>
      </w:r>
      <w:r>
        <w:t xml:space="preserve">  To dispose of a tenant's property under this act, a landlord shall first give written notice to the tenant, which shall be sent by certified mail, return receipt requested or by receipted first class mail addressed to the tenant, at the tenant's last known address (which may be the address of the premises) and at any alternate address or addresses known to the landlord, in an envelope endorsed "Please Forward."</w:t>
      </w:r>
    </w:p>
    <w:p w:rsidR="00351CEB" w:rsidRPr="00D971CA" w:rsidRDefault="00351CEB" w:rsidP="00351CEB">
      <w:pPr>
        <w:rPr>
          <w:u w:val="single"/>
        </w:rPr>
      </w:pPr>
      <w:r>
        <w:tab/>
      </w:r>
      <w:r>
        <w:rPr>
          <w:u w:val="single"/>
        </w:rPr>
        <w:t>b.</w:t>
      </w:r>
      <w:r>
        <w:rPr>
          <w:u w:val="single"/>
        </w:rPr>
        <w:tab/>
        <w:t>In the case of a deceased tenant, written notice shall be sent, by certified mail, to any executor, administrator, or representative of the estate, any cosigner for the apartment, or any previously known occupant listed by the deceased tenant</w:t>
      </w:r>
      <w:r w:rsidRPr="00C67469">
        <w:rPr>
          <w:u w:val="single"/>
        </w:rPr>
        <w:t xml:space="preserve"> </w:t>
      </w:r>
      <w:r>
        <w:rPr>
          <w:u w:val="single"/>
        </w:rPr>
        <w:t>who has contacted the landlord.</w:t>
      </w:r>
    </w:p>
    <w:p w:rsidR="00351CEB" w:rsidRDefault="00351CEB" w:rsidP="00351CEB">
      <w:r>
        <w:tab/>
        <w:t>"Receipted first class mail" for purposes of this section means first class mail for which a certificate of mailing has been obtained by the sender but does not include certified or registered mail.</w:t>
      </w:r>
    </w:p>
    <w:p w:rsidR="00351CEB" w:rsidRDefault="00351CEB" w:rsidP="00351CEB">
      <w:r>
        <w:tab/>
        <w:t>When the property subject to disposal is a manufactured or mobile home, a copy of the notice required pursuant to this section shall also be sent to the Director of the Division of Motor Vehicles and to any lienholders with security interests in the property which have been recorded with the Division of Motor Vehicles.</w:t>
      </w:r>
    </w:p>
    <w:p w:rsidR="00351CEB" w:rsidRDefault="00351CEB" w:rsidP="00351CEB">
      <w:r>
        <w:t>(</w:t>
      </w:r>
      <w:proofErr w:type="spellStart"/>
      <w:r>
        <w:t>cf</w:t>
      </w:r>
      <w:proofErr w:type="spellEnd"/>
      <w:r>
        <w:t>: P.L.1999, c.340, s.2)</w:t>
      </w:r>
    </w:p>
    <w:p w:rsidR="00351CEB" w:rsidRDefault="00351CEB" w:rsidP="00351CEB"/>
    <w:p w:rsidR="00351CEB" w:rsidRDefault="00351CEB" w:rsidP="00351CEB">
      <w:r>
        <w:tab/>
        <w:t>5.</w:t>
      </w:r>
      <w:r>
        <w:tab/>
        <w:t>Section 4 of P.L.1999, c.340 (C.2A:18-75) is amended to read as follows:</w:t>
      </w:r>
    </w:p>
    <w:p w:rsidR="00351CEB" w:rsidRDefault="00351CEB" w:rsidP="00351CEB">
      <w:r>
        <w:tab/>
      </w:r>
      <w:r w:rsidRPr="00B63804">
        <w:t>4.</w:t>
      </w:r>
      <w:r w:rsidRPr="00B63804">
        <w:tab/>
        <w:t>After notifying a tenant</w:t>
      </w:r>
      <w:r>
        <w:rPr>
          <w:u w:val="single"/>
        </w:rPr>
        <w:t>, or the executor, administrator, or representative of a deceased tenant’s estate,</w:t>
      </w:r>
      <w:r w:rsidRPr="00B63804">
        <w:t xml:space="preserve"> as required by sections 2 and 3 of P.L.1999, c.340 (C.2A:18-73 and C.2A:18-74), a </w:t>
      </w:r>
      <w:r w:rsidRPr="00B63804">
        <w:lastRenderedPageBreak/>
        <w:t>landlord shall store all goods, chattels, manufactured or mobile homes and other personal property of the tenant in a place of safekeeping and shall exercise reasonable care for the property, except that the landlord may promptly dispose of perishable food and shall allow an animal control agency or humane society to remove any abandoned pets or livestock.  A landlord may store a tenant's manufactured dwelling or residential vehicle on the space previously rented, elsewhere on the premises or in a safe location off the premises.  A landlord shall be entitled to reasonable storage charges and costs incidental to storage.  A landlord may store property in a commercial storage facility, in which case the storage cost shall include the actual storage charge plus the reasonable cost of removal of the property to the place of storage.</w:t>
      </w:r>
    </w:p>
    <w:p w:rsidR="00351CEB" w:rsidRDefault="00351CEB" w:rsidP="00351CEB">
      <w:r>
        <w:t>(</w:t>
      </w:r>
      <w:proofErr w:type="spellStart"/>
      <w:r>
        <w:t>cf</w:t>
      </w:r>
      <w:proofErr w:type="spellEnd"/>
      <w:r>
        <w:t>: P.L.1999, c.340, s.4)</w:t>
      </w:r>
    </w:p>
    <w:p w:rsidR="00351CEB" w:rsidRDefault="00351CEB" w:rsidP="00351CEB"/>
    <w:p w:rsidR="00351CEB" w:rsidRPr="001D5C50" w:rsidRDefault="00351CEB" w:rsidP="00351CEB">
      <w:r>
        <w:tab/>
        <w:t>6.</w:t>
      </w:r>
      <w:r>
        <w:tab/>
        <w:t>Section 5 of P.L.1999, c.340 (C.</w:t>
      </w:r>
      <w:r w:rsidRPr="001D5C50">
        <w:t>2A:18-7</w:t>
      </w:r>
      <w:r>
        <w:t>6) is amended to read as follows:</w:t>
      </w:r>
    </w:p>
    <w:p w:rsidR="00351CEB" w:rsidRDefault="00351CEB" w:rsidP="00351CEB">
      <w:r>
        <w:tab/>
        <w:t>5.</w:t>
      </w:r>
      <w:r>
        <w:tab/>
        <w:t>a.  If a tenant responds in writing or orally to the landlord, on or before the day specified in the required notice, that the tenant intends to remove the property from the premises, or from the place of safekeeping if the landlord has stored the property as provided in section 4 of P.L.1999, c.340 (C.2A:18-75), and does not do so within the time specified in the notice or within 15 days after the written response, whichever is later, the tenant's property shall be conclusively presumed to be abandoned.</w:t>
      </w:r>
    </w:p>
    <w:p w:rsidR="00351CEB" w:rsidRDefault="00351CEB" w:rsidP="00351CEB">
      <w:r>
        <w:tab/>
        <w:t>b.</w:t>
      </w:r>
      <w:r>
        <w:tab/>
        <w:t>If a lienholder responds in writing to the landlord concerning a security interest in any manufactured or mobile home, and the lienholder indicates an intent to remove the property from the premises, or from the place of safekeeping, or to pay rent as a condition of leaving the property on the premises, but fails to remove the property or make rental payments within the time specified in the notice or within 15 days after the written response, whichever is later, then the landlord may proceed as if the lienholder had not responded.</w:t>
      </w:r>
    </w:p>
    <w:p w:rsidR="00351CEB" w:rsidRDefault="00351CEB" w:rsidP="00351CEB">
      <w:r>
        <w:tab/>
        <w:t>c.</w:t>
      </w:r>
      <w:r>
        <w:tab/>
        <w:t>If no response is received from a tenant or lienholder within the time period provided under section 3 of P.L.1999, c.340 (C.2A:18-74), then the tenant's property shall be conclusively presumed to be abandoned.</w:t>
      </w:r>
    </w:p>
    <w:p w:rsidR="00351CEB" w:rsidRPr="00D971CA" w:rsidRDefault="00351CEB" w:rsidP="00351CEB">
      <w:pPr>
        <w:rPr>
          <w:u w:val="single"/>
        </w:rPr>
      </w:pPr>
      <w:r>
        <w:tab/>
      </w:r>
      <w:r>
        <w:rPr>
          <w:u w:val="single"/>
        </w:rPr>
        <w:t>d.</w:t>
      </w:r>
      <w:r>
        <w:rPr>
          <w:u w:val="single"/>
        </w:rPr>
        <w:tab/>
        <w:t>The tenant</w:t>
      </w:r>
      <w:r w:rsidRPr="00C67469">
        <w:rPr>
          <w:u w:val="single"/>
        </w:rPr>
        <w:t xml:space="preserve"> </w:t>
      </w:r>
      <w:r>
        <w:rPr>
          <w:u w:val="single"/>
        </w:rPr>
        <w:t>who is the sole occupant of the dwelling unit</w:t>
      </w:r>
      <w:r w:rsidRPr="00C67469">
        <w:rPr>
          <w:u w:val="single"/>
        </w:rPr>
        <w:t xml:space="preserve"> </w:t>
      </w:r>
      <w:r>
        <w:rPr>
          <w:u w:val="single"/>
        </w:rPr>
        <w:t>has died and landlord has not been contacted by the executor, representative,</w:t>
      </w:r>
      <w:r w:rsidRPr="00C67469">
        <w:rPr>
          <w:u w:val="single"/>
        </w:rPr>
        <w:t xml:space="preserve"> </w:t>
      </w:r>
      <w:r>
        <w:rPr>
          <w:u w:val="single"/>
        </w:rPr>
        <w:t>or administer of the estate, or by a person intending to apply for letters of administration, within 21</w:t>
      </w:r>
      <w:r w:rsidRPr="00EE71C2">
        <w:rPr>
          <w:u w:val="single"/>
        </w:rPr>
        <w:t xml:space="preserve"> </w:t>
      </w:r>
      <w:r>
        <w:rPr>
          <w:u w:val="single"/>
        </w:rPr>
        <w:t>days of the death, then the tenant’s property shall be conclusively presumed to be abandoned.</w:t>
      </w:r>
    </w:p>
    <w:p w:rsidR="00351CEB" w:rsidRDefault="00351CEB" w:rsidP="00351CEB">
      <w:r>
        <w:t>(</w:t>
      </w:r>
      <w:proofErr w:type="spellStart"/>
      <w:r>
        <w:t>cf</w:t>
      </w:r>
      <w:proofErr w:type="spellEnd"/>
      <w:r>
        <w:t>: P.L.1999, c.340, s.5)</w:t>
      </w:r>
    </w:p>
    <w:p w:rsidR="00351CEB" w:rsidRDefault="00351CEB" w:rsidP="00351CEB"/>
    <w:p w:rsidR="00351CEB" w:rsidRDefault="00351CEB" w:rsidP="00351CEB">
      <w:r>
        <w:tab/>
        <w:t>7.</w:t>
      </w:r>
      <w:r>
        <w:tab/>
        <w:t>Section 11 of P.L.1999, c.340 (C.</w:t>
      </w:r>
      <w:r w:rsidRPr="001D5C50">
        <w:t>2A:18-</w:t>
      </w:r>
      <w:r>
        <w:t>80) is amended to read as follows:</w:t>
      </w:r>
    </w:p>
    <w:p w:rsidR="00351CEB" w:rsidRPr="00FB4F8B" w:rsidRDefault="00351CEB" w:rsidP="00351CEB">
      <w:pPr>
        <w:rPr>
          <w:u w:val="single"/>
        </w:rPr>
      </w:pPr>
      <w:r>
        <w:lastRenderedPageBreak/>
        <w:tab/>
      </w:r>
      <w:r w:rsidRPr="00FB4F8B">
        <w:t>11.</w:t>
      </w:r>
      <w:r w:rsidRPr="00FB4F8B">
        <w:tab/>
        <w:t>A landlord may deduct from the proceeds of any sale the reasonable costs of notice, storage and sale and any unpaid rent and charges not covered by a security deposit.  After deducting these amounts, the landlord shall remit to the tenant the remaining proceeds, if any, together with an itemized accounting.  If the tenant, after due diligence, cannot be found the remaining proceeds shall be deposited into the Superior Court and, if not claimed within 10 years, shall escheat to the State.</w:t>
      </w:r>
      <w:r>
        <w:t xml:space="preserve">  </w:t>
      </w:r>
      <w:r>
        <w:rPr>
          <w:u w:val="single"/>
        </w:rPr>
        <w:t>In the case of a deceased tenant, the remaining proceeds shall be provided to an executor, administrator, or representative of the estate who has contacted the landlord prior to the date of the sale.  In the case of a deceased tenant where no executor, administrator, or representative has contacted the landlord</w:t>
      </w:r>
      <w:r w:rsidRPr="00FB4F8B">
        <w:rPr>
          <w:u w:val="single"/>
        </w:rPr>
        <w:t>, the remaining proceeds shall be deposited into the Superior Court and, if not claimed within 10 years, shall escheat to the State.</w:t>
      </w:r>
    </w:p>
    <w:p w:rsidR="00351CEB" w:rsidRDefault="00351CEB" w:rsidP="00351CEB">
      <w:r>
        <w:t>(</w:t>
      </w:r>
      <w:proofErr w:type="spellStart"/>
      <w:r>
        <w:t>cf</w:t>
      </w:r>
      <w:proofErr w:type="spellEnd"/>
      <w:r>
        <w:t>: P.L.1999, c.340, s.11)</w:t>
      </w:r>
    </w:p>
    <w:p w:rsidR="00351CEB" w:rsidRPr="00D71D68" w:rsidRDefault="00351CEB" w:rsidP="00351CEB"/>
    <w:p w:rsidR="00351CEB" w:rsidRPr="00AA7880" w:rsidRDefault="00351CEB" w:rsidP="00351CEB">
      <w:r>
        <w:tab/>
        <w:t>8.</w:t>
      </w:r>
      <w:r>
        <w:tab/>
        <w:t>This act shall take effect immediately.</w:t>
      </w:r>
    </w:p>
    <w:p w:rsidR="00351CEB" w:rsidRDefault="00351CEB" w:rsidP="00351CEB"/>
    <w:p w:rsidR="00351CEB" w:rsidRDefault="00351CEB" w:rsidP="00351CEB"/>
    <w:p w:rsidR="00351CEB" w:rsidRDefault="00351CEB" w:rsidP="00351CEB">
      <w:pPr>
        <w:jc w:val="center"/>
      </w:pPr>
      <w:r>
        <w:t>STATEMENT</w:t>
      </w:r>
    </w:p>
    <w:p w:rsidR="00351CEB" w:rsidRDefault="00351CEB" w:rsidP="00351CEB"/>
    <w:p w:rsidR="00351CEB" w:rsidRPr="00E7752C" w:rsidRDefault="00351CEB" w:rsidP="00351C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97CA6">
        <w:rPr>
          <w:spacing w:val="0"/>
          <w:szCs w:val="20"/>
        </w:rPr>
        <w:tab/>
        <w:t xml:space="preserve">Current law does not address the issue of property left by a deceased tenant who has no executor, administrator, or representative.  This bill establishes that there is good cause for the removal of a tenant where the tenant has died and no executor, administrator, or representative has come forward to make decisions on behalf of the estate.  The bill also establishes grounds for a landlord to remove property from a unit after the death of a tenant under certain circumstances.  </w:t>
      </w:r>
      <w:r>
        <w:rPr>
          <w:spacing w:val="0"/>
          <w:szCs w:val="20"/>
        </w:rPr>
        <w:t>The</w:t>
      </w:r>
      <w:r w:rsidRPr="00D97CA6">
        <w:rPr>
          <w:spacing w:val="0"/>
          <w:szCs w:val="20"/>
        </w:rPr>
        <w:t xml:space="preserve"> bill provides that property will be considered abandoned after the death of a tenant if no executor, administrator, or representative contacts the landlord within 21 days of the tenant’s death.  The removal of property would be authorized if the landlord has not been contacted by an executor, administrator, or representative of the estate within 21 days of the death of the tenant.  If an executor, administrator, or representative of the estate contacts the landlord and the situation is not resolved, the landlord would need to obtain a warrant of removal from a court and notify the executor, administrator, or representative, by certified mail, that the property will be removed pursuant to the warrant of removal.  </w:t>
      </w:r>
      <w:r>
        <w:rPr>
          <w:spacing w:val="0"/>
          <w:szCs w:val="20"/>
        </w:rPr>
        <w:t>The</w:t>
      </w:r>
      <w:r w:rsidRPr="00D97CA6">
        <w:rPr>
          <w:spacing w:val="0"/>
          <w:szCs w:val="20"/>
        </w:rPr>
        <w:t xml:space="preserve"> bill requires written notice to be sent by certified mail to any cosigner for the apartment, or any previously known occupant listed by the deceased tenant, in addition to any executor, administrator, or representative of the estate.</w:t>
      </w:r>
      <w:r>
        <w:rPr>
          <w:spacing w:val="0"/>
          <w:szCs w:val="20"/>
        </w:rPr>
        <w:t xml:space="preserve">   </w:t>
      </w:r>
    </w:p>
    <w:sectPr w:rsidR="00351CEB" w:rsidRPr="00E7752C" w:rsidSect="000B24F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8D8" w:rsidRDefault="009A28D8">
      <w:r>
        <w:separator/>
      </w:r>
    </w:p>
  </w:endnote>
  <w:endnote w:type="continuationSeparator" w:id="0">
    <w:p w:rsidR="009A28D8" w:rsidRDefault="009A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4FE" w:rsidRPr="00921C91" w:rsidRDefault="000B24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4FE" w:rsidRPr="00921C91" w:rsidRDefault="000B24FE">
    <w:pPr>
      <w:pStyle w:val="Footer"/>
      <w:rPr>
        <w:szCs w:val="18"/>
      </w:rPr>
    </w:pPr>
  </w:p>
  <w:p w:rsidR="000B24FE" w:rsidRPr="00921C91" w:rsidRDefault="000B24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4FE" w:rsidRDefault="000B24F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8D8" w:rsidRDefault="009A28D8">
      <w:r>
        <w:separator/>
      </w:r>
    </w:p>
  </w:footnote>
  <w:footnote w:type="continuationSeparator" w:id="0">
    <w:p w:rsidR="009A28D8" w:rsidRDefault="009A2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73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24FE" w:rsidRDefault="000B24FE" w:rsidP="000B24FE">
    <w:pPr>
      <w:pStyle w:val="bpuHeadSpon"/>
    </w:pPr>
    <w:r w:rsidRPr="000B24FE">
      <w:rPr>
        <w:rStyle w:val="bpuHeadSponChar"/>
      </w:rPr>
      <w:t>A490</w:t>
    </w:r>
    <w:r>
      <w:t xml:space="preserve"> WEBBER, HOLLEY</w:t>
    </w:r>
  </w:p>
  <w:p w:rsidR="000B24FE" w:rsidRDefault="000B24FE" w:rsidP="000B24FE">
    <w:pPr>
      <w:pStyle w:val="bpuHeadSpon"/>
    </w:pPr>
    <w:r>
      <w:fldChar w:fldCharType="begin"/>
    </w:r>
    <w:r>
      <w:instrText xml:space="preserve"> PAGE  \* MERGEFORMAT </w:instrText>
    </w:r>
    <w:r>
      <w:fldChar w:fldCharType="separate"/>
    </w:r>
    <w:r w:rsidR="0045738C">
      <w:rPr>
        <w:noProof/>
      </w:rPr>
      <w:t>11</w:t>
    </w:r>
    <w:r>
      <w:fldChar w:fldCharType="end"/>
    </w:r>
  </w:p>
  <w:p w:rsidR="000B24FE" w:rsidRPr="00AF575C" w:rsidRDefault="000B24FE" w:rsidP="000B24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24FE" w:rsidRDefault="000B24FE" w:rsidP="000B24FE">
    <w:pPr>
      <w:pStyle w:val="bpuHeadSpon"/>
    </w:pPr>
    <w:r w:rsidRPr="000B24FE">
      <w:rPr>
        <w:rStyle w:val="bpuHeadSponChar"/>
      </w:rPr>
      <w:t>A490</w:t>
    </w:r>
    <w:r>
      <w:t xml:space="preserve"> WEBBER, HOLLEY</w:t>
    </w:r>
  </w:p>
  <w:p w:rsidR="000B24FE" w:rsidRDefault="000B24FE" w:rsidP="000B24FE">
    <w:pPr>
      <w:pStyle w:val="bpuHeadSpon"/>
    </w:pPr>
    <w:r>
      <w:fldChar w:fldCharType="begin"/>
    </w:r>
    <w:r>
      <w:instrText xml:space="preserve"> PAGE  \* MERGEFORMAT </w:instrText>
    </w:r>
    <w:r>
      <w:fldChar w:fldCharType="separate"/>
    </w:r>
    <w:r w:rsidR="0045738C">
      <w:rPr>
        <w:noProof/>
      </w:rPr>
      <w:t>2</w:t>
    </w:r>
    <w:r>
      <w:fldChar w:fldCharType="end"/>
    </w:r>
  </w:p>
  <w:p w:rsidR="000B24FE" w:rsidRDefault="000B24FE" w:rsidP="000B24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8D8"/>
    <w:rsid w:val="00000169"/>
    <w:rsid w:val="00004D4D"/>
    <w:rsid w:val="0000727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4FE"/>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8F8"/>
    <w:rsid w:val="001C6A67"/>
    <w:rsid w:val="001D576D"/>
    <w:rsid w:val="001D7350"/>
    <w:rsid w:val="001E4DBB"/>
    <w:rsid w:val="001F6719"/>
    <w:rsid w:val="001F6DA6"/>
    <w:rsid w:val="00214614"/>
    <w:rsid w:val="0022067D"/>
    <w:rsid w:val="002309D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CE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38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FA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87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2BA"/>
    <w:rsid w:val="0094377E"/>
    <w:rsid w:val="009467BF"/>
    <w:rsid w:val="0094723D"/>
    <w:rsid w:val="009564BC"/>
    <w:rsid w:val="0095650E"/>
    <w:rsid w:val="00966445"/>
    <w:rsid w:val="00967FED"/>
    <w:rsid w:val="00980A56"/>
    <w:rsid w:val="00986E4C"/>
    <w:rsid w:val="009937ED"/>
    <w:rsid w:val="00993BCE"/>
    <w:rsid w:val="009A28BB"/>
    <w:rsid w:val="009A28D8"/>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F10"/>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35877D9-2250-46E7-852D-933565F1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072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272"/>
    <w:rPr>
      <w:rFonts w:ascii="Segoe UI" w:hAnsi="Segoe UI" w:cs="Segoe UI"/>
      <w:spacing w:val="4"/>
      <w:sz w:val="18"/>
      <w:szCs w:val="18"/>
    </w:rPr>
  </w:style>
  <w:style w:type="character" w:styleId="LineNumber">
    <w:name w:val="line number"/>
    <w:basedOn w:val="DefaultParagraphFont"/>
    <w:semiHidden/>
    <w:unhideWhenUsed/>
    <w:rsid w:val="000B2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12D76-A3AD-4752-9C33-5A654699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4678</Words>
  <Characters>23606</Characters>
  <Application>Microsoft Office Word</Application>
  <DocSecurity>0</DocSecurity>
  <Lines>498</Lines>
  <Paragraphs>84</Paragraphs>
  <ScaleCrop>false</ScaleCrop>
  <HeadingPairs>
    <vt:vector size="2" baseType="variant">
      <vt:variant>
        <vt:lpstr>Title</vt:lpstr>
      </vt:variant>
      <vt:variant>
        <vt:i4>1</vt:i4>
      </vt:variant>
    </vt:vector>
  </HeadingPairs>
  <TitlesOfParts>
    <vt:vector size="1" baseType="lpstr">
      <vt:lpstr>A490</vt:lpstr>
    </vt:vector>
  </TitlesOfParts>
  <Manager>R225</Manager>
  <Company>OFFICE of LEGISLATIVE SERVICES</Company>
  <LinksUpToDate>false</LinksUpToDate>
  <CharactersWithSpaces>28303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dc:title>
  <dc:creator>Assemblyman  WEBBER, Assemblyman  HOLLEY</dc:creator>
  <cp:keywords>A490|11|ER |227|0|0|!|0|</cp:keywords>
  <dc:description>PREFILED 2020</dc:description>
  <cp:lastModifiedBy>Siracusa, Nicole</cp:lastModifiedBy>
  <cp:revision>2</cp:revision>
  <cp:lastPrinted>2019-12-09T19:00:00Z</cp:lastPrinted>
  <dcterms:created xsi:type="dcterms:W3CDTF">2019-12-12T20:25:00Z</dcterms:created>
  <dcterms:modified xsi:type="dcterms:W3CDTF">2019-12-12T20:25:00Z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