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F46DBB" w:rsidP="00407C9E">
      <w:pPr>
        <w:pStyle w:val="NoteOrEstimate"/>
      </w:pPr>
      <w:r>
        <w:t>LEGISLATIVE FISCAL ESTIMATE</w:t>
      </w:r>
    </w:p>
    <w:p w:rsidR="00076044" w:rsidRPr="00076044" w:rsidRDefault="00076044" w:rsidP="002D7863">
      <w:pPr>
        <w:pStyle w:val="BillNo"/>
        <w:tabs>
          <w:tab w:val="left" w:pos="360"/>
          <w:tab w:val="left" w:pos="720"/>
          <w:tab w:val="left" w:pos="1440"/>
          <w:tab w:val="left" w:pos="2160"/>
          <w:tab w:val="left" w:pos="2880"/>
          <w:tab w:val="left" w:pos="3600"/>
          <w:tab w:val="left" w:pos="4320"/>
          <w:tab w:val="left" w:pos="5040"/>
        </w:tabs>
        <w:rPr>
          <w:b w:val="0"/>
          <w:bCs/>
        </w:rPr>
      </w:pPr>
      <w:r>
        <w:rPr>
          <w:b w:val="0"/>
          <w:bCs/>
        </w:rPr>
        <w:t>[First Reprint]</w:t>
      </w:r>
    </w:p>
    <w:p w:rsidR="003C5892" w:rsidRDefault="00F46DBB"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D13C7" w:rsidP="004D13C7">
      <w:pPr>
        <w:pStyle w:val="BillNo"/>
      </w:pPr>
      <w:r>
        <w:t>219th LEGISLATURE</w:t>
      </w:r>
    </w:p>
    <w:p w:rsidR="00353325" w:rsidRDefault="00353325" w:rsidP="00353325"/>
    <w:p w:rsidR="004D13C7" w:rsidRDefault="004D13C7" w:rsidP="004D13C7">
      <w:pPr>
        <w:jc w:val="center"/>
      </w:pPr>
      <w:r>
        <w:t>DATED: DECEMBER 24, 2020</w:t>
      </w:r>
    </w:p>
    <w:p w:rsidR="004D13C7" w:rsidRDefault="004D13C7" w:rsidP="00353325"/>
    <w:p w:rsidR="004D13C7" w:rsidRDefault="004D13C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9145C" w:rsidP="00515AC5">
            <w:r w:rsidRPr="00D9145C">
              <w:t>"New Jersey Economic Recovery Act of 2020"; provides for administration of programs and policies related to jobs, property development, food deserts, community partnerships, small and early stage businesses, State procurement, wind energy, and film production</w:t>
            </w:r>
            <w:r w:rsidR="00740C56">
              <w:t>, and makes an appropriat</w:t>
            </w:r>
            <w:r w:rsidR="00613618">
              <w:t>i</w:t>
            </w:r>
            <w:r w:rsidR="00740C56">
              <w:t>on</w:t>
            </w:r>
            <w:r w:rsidRPr="00D9145C">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076044" w:rsidP="00515AC5">
            <w:r w:rsidRPr="00076044">
              <w:t xml:space="preserve">Indeterminate fiscal net impact on State General Fund and Property Tax Relief Fund; potential revenue increase to </w:t>
            </w:r>
            <w:r w:rsidR="001C3988">
              <w:t>certain</w:t>
            </w:r>
            <w:r w:rsidRPr="00076044">
              <w:t xml:space="preserve"> local governments.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1C3988" w:rsidRDefault="001C3988" w:rsidP="00076044">
            <w:r>
              <w:t>Department of Agriculture.</w:t>
            </w:r>
          </w:p>
          <w:p w:rsidR="007211ED" w:rsidRDefault="007211ED" w:rsidP="00076044">
            <w:r>
              <w:t>Department of Community Affairs.</w:t>
            </w:r>
          </w:p>
          <w:p w:rsidR="007211ED" w:rsidRDefault="007211ED" w:rsidP="00076044">
            <w:r>
              <w:t>Department of Labor and Workforce Development.</w:t>
            </w:r>
          </w:p>
          <w:p w:rsidR="00076044" w:rsidRDefault="00076044" w:rsidP="00076044">
            <w:r>
              <w:t>Department of the Treasury.</w:t>
            </w:r>
          </w:p>
          <w:p w:rsidR="003C5892" w:rsidRDefault="00076044" w:rsidP="00076044">
            <w:r>
              <w:t>New Jersey Economic Development Authority.</w:t>
            </w:r>
          </w:p>
          <w:p w:rsidR="00272021" w:rsidRDefault="00191301" w:rsidP="00076044">
            <w:r>
              <w:t xml:space="preserve">Certain </w:t>
            </w:r>
            <w:r w:rsidR="00272021">
              <w:t xml:space="preserve">Local </w:t>
            </w:r>
            <w:r>
              <w:t>G</w:t>
            </w:r>
            <w:r w:rsidR="00272021">
              <w:t>overnments.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330"/>
        <w:gridCol w:w="6030"/>
        <w:gridCol w:w="15"/>
      </w:tblGrid>
      <w:tr w:rsidR="00076044" w:rsidTr="00655348">
        <w:trPr>
          <w:trHeight w:val="410"/>
        </w:trPr>
        <w:tc>
          <w:tcPr>
            <w:tcW w:w="9375" w:type="dxa"/>
            <w:gridSpan w:val="3"/>
            <w:tcBorders>
              <w:top w:val="nil"/>
              <w:left w:val="nil"/>
              <w:bottom w:val="nil"/>
              <w:right w:val="nil"/>
            </w:tcBorders>
            <w:vAlign w:val="bottom"/>
          </w:tcPr>
          <w:p w:rsidR="00076044" w:rsidRPr="00F11982" w:rsidRDefault="00076044" w:rsidP="00655348">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76044" w:rsidTr="00655348">
        <w:trPr>
          <w:gridAfter w:val="1"/>
          <w:wAfter w:w="15" w:type="dxa"/>
          <w:trHeight w:val="410"/>
        </w:trPr>
        <w:tc>
          <w:tcPr>
            <w:tcW w:w="3330" w:type="dxa"/>
            <w:tcBorders>
              <w:top w:val="single" w:sz="6" w:space="0" w:color="auto"/>
              <w:left w:val="single" w:sz="6" w:space="0" w:color="auto"/>
              <w:bottom w:val="single" w:sz="12" w:space="0" w:color="auto"/>
              <w:right w:val="nil"/>
            </w:tcBorders>
            <w:shd w:val="pct20" w:color="auto" w:fill="auto"/>
            <w:vAlign w:val="bottom"/>
          </w:tcPr>
          <w:p w:rsidR="00076044" w:rsidRPr="00F11982" w:rsidRDefault="00076044" w:rsidP="00655348">
            <w:pPr>
              <w:tabs>
                <w:tab w:val="left" w:pos="360"/>
                <w:tab w:val="left" w:pos="720"/>
                <w:tab w:val="left" w:pos="1440"/>
                <w:tab w:val="left" w:pos="2160"/>
                <w:tab w:val="left" w:pos="2880"/>
                <w:tab w:val="left" w:pos="3600"/>
                <w:tab w:val="left" w:pos="4320"/>
                <w:tab w:val="left" w:pos="5040"/>
              </w:tabs>
              <w:jc w:val="center"/>
              <w:rPr>
                <w:b/>
              </w:rPr>
            </w:pPr>
            <w:r w:rsidRPr="00F11982">
              <w:rPr>
                <w:b/>
              </w:rPr>
              <w:t>Fiscal Impact</w:t>
            </w:r>
          </w:p>
        </w:tc>
        <w:tc>
          <w:tcPr>
            <w:tcW w:w="6030" w:type="dxa"/>
            <w:tcBorders>
              <w:top w:val="single" w:sz="6" w:space="0" w:color="auto"/>
              <w:left w:val="nil"/>
              <w:bottom w:val="single" w:sz="12" w:space="0" w:color="auto"/>
              <w:right w:val="single" w:sz="6" w:space="0" w:color="auto"/>
            </w:tcBorders>
            <w:shd w:val="pct20" w:color="auto" w:fill="auto"/>
            <w:vAlign w:val="bottom"/>
          </w:tcPr>
          <w:p w:rsidR="00076044" w:rsidRPr="00F11982" w:rsidRDefault="00076044" w:rsidP="00655348">
            <w:pPr>
              <w:tabs>
                <w:tab w:val="left" w:pos="360"/>
                <w:tab w:val="left" w:pos="720"/>
                <w:tab w:val="left" w:pos="1440"/>
                <w:tab w:val="left" w:pos="2160"/>
                <w:tab w:val="left" w:pos="2880"/>
                <w:tab w:val="left" w:pos="3600"/>
                <w:tab w:val="left" w:pos="4320"/>
                <w:tab w:val="left" w:pos="5040"/>
              </w:tabs>
              <w:jc w:val="center"/>
              <w:rPr>
                <w:b/>
              </w:rPr>
            </w:pPr>
            <w:r>
              <w:rPr>
                <w:b/>
                <w:bCs/>
              </w:rPr>
              <w:t>Multi-Year Lifespan of Incentive Awards</w:t>
            </w:r>
            <w:r w:rsidRPr="00F11982">
              <w:rPr>
                <w:b/>
              </w:rPr>
              <w:t xml:space="preserve">  </w:t>
            </w:r>
          </w:p>
        </w:tc>
      </w:tr>
      <w:tr w:rsidR="00A4724E" w:rsidTr="00655348">
        <w:trPr>
          <w:gridAfter w:val="1"/>
          <w:wAfter w:w="15" w:type="dxa"/>
          <w:trHeight w:val="410"/>
        </w:trPr>
        <w:tc>
          <w:tcPr>
            <w:tcW w:w="3330" w:type="dxa"/>
            <w:tcBorders>
              <w:top w:val="nil"/>
              <w:left w:val="single" w:sz="6" w:space="0" w:color="auto"/>
              <w:bottom w:val="nil"/>
              <w:right w:val="nil"/>
            </w:tcBorders>
            <w:tcMar>
              <w:bottom w:w="29" w:type="dxa"/>
            </w:tcMar>
            <w:vAlign w:val="center"/>
          </w:tcPr>
          <w:p w:rsidR="00A4724E" w:rsidRPr="00537A2A" w:rsidRDefault="00A4724E" w:rsidP="00655348">
            <w:pPr>
              <w:tabs>
                <w:tab w:val="left" w:pos="360"/>
                <w:tab w:val="left" w:pos="720"/>
                <w:tab w:val="left" w:pos="1440"/>
                <w:tab w:val="left" w:pos="2160"/>
                <w:tab w:val="left" w:pos="2880"/>
                <w:tab w:val="left" w:pos="3600"/>
                <w:tab w:val="left" w:pos="4320"/>
                <w:tab w:val="left" w:pos="5040"/>
              </w:tabs>
              <w:rPr>
                <w:b/>
              </w:rPr>
            </w:pPr>
            <w:r w:rsidRPr="00A4724E">
              <w:rPr>
                <w:b/>
                <w:u w:val="single"/>
              </w:rPr>
              <w:t>State</w:t>
            </w:r>
            <w:r>
              <w:rPr>
                <w:b/>
              </w:rPr>
              <w:t xml:space="preserve"> Expenditure Increase</w:t>
            </w:r>
          </w:p>
        </w:tc>
        <w:tc>
          <w:tcPr>
            <w:tcW w:w="6030" w:type="dxa"/>
            <w:tcBorders>
              <w:top w:val="nil"/>
              <w:left w:val="nil"/>
              <w:bottom w:val="nil"/>
              <w:right w:val="single" w:sz="6" w:space="0" w:color="auto"/>
            </w:tcBorders>
            <w:tcMar>
              <w:bottom w:w="29" w:type="dxa"/>
            </w:tcMar>
            <w:vAlign w:val="bottom"/>
          </w:tcPr>
          <w:p w:rsidR="00A4724E" w:rsidRDefault="002660B0" w:rsidP="002E3CFA">
            <w:pPr>
              <w:tabs>
                <w:tab w:val="left" w:pos="360"/>
                <w:tab w:val="left" w:pos="720"/>
                <w:tab w:val="left" w:pos="1440"/>
                <w:tab w:val="left" w:pos="2160"/>
                <w:tab w:val="left" w:pos="2880"/>
                <w:tab w:val="left" w:pos="3600"/>
                <w:tab w:val="left" w:pos="4320"/>
                <w:tab w:val="left" w:pos="5040"/>
              </w:tabs>
              <w:jc w:val="center"/>
            </w:pPr>
            <w:r>
              <w:t>$55,5</w:t>
            </w:r>
            <w:r w:rsidR="00A4724E">
              <w:t>00,000</w:t>
            </w:r>
          </w:p>
        </w:tc>
      </w:tr>
      <w:tr w:rsidR="00076044" w:rsidTr="00655348">
        <w:trPr>
          <w:gridAfter w:val="1"/>
          <w:wAfter w:w="15" w:type="dxa"/>
          <w:trHeight w:val="410"/>
        </w:trPr>
        <w:tc>
          <w:tcPr>
            <w:tcW w:w="3330" w:type="dxa"/>
            <w:tcBorders>
              <w:top w:val="nil"/>
              <w:left w:val="single" w:sz="6" w:space="0" w:color="auto"/>
              <w:bottom w:val="nil"/>
              <w:right w:val="nil"/>
            </w:tcBorders>
            <w:tcMar>
              <w:bottom w:w="29" w:type="dxa"/>
            </w:tcMar>
            <w:vAlign w:val="center"/>
          </w:tcPr>
          <w:p w:rsidR="00076044" w:rsidRPr="00537A2A" w:rsidRDefault="00076044" w:rsidP="00655348">
            <w:pPr>
              <w:tabs>
                <w:tab w:val="left" w:pos="360"/>
                <w:tab w:val="left" w:pos="720"/>
                <w:tab w:val="left" w:pos="1440"/>
                <w:tab w:val="left" w:pos="2160"/>
                <w:tab w:val="left" w:pos="2880"/>
                <w:tab w:val="left" w:pos="3600"/>
                <w:tab w:val="left" w:pos="4320"/>
                <w:tab w:val="left" w:pos="5040"/>
              </w:tabs>
              <w:rPr>
                <w:b/>
              </w:rPr>
            </w:pPr>
            <w:r w:rsidRPr="00537A2A">
              <w:rPr>
                <w:b/>
              </w:rPr>
              <w:t xml:space="preserve">Direct </w:t>
            </w:r>
            <w:r w:rsidRPr="00537A2A">
              <w:rPr>
                <w:b/>
                <w:u w:val="single"/>
              </w:rPr>
              <w:t>State</w:t>
            </w:r>
            <w:r w:rsidRPr="00537A2A">
              <w:rPr>
                <w:b/>
              </w:rPr>
              <w:t xml:space="preserve"> Revenue Loss</w:t>
            </w:r>
          </w:p>
        </w:tc>
        <w:tc>
          <w:tcPr>
            <w:tcW w:w="6030" w:type="dxa"/>
            <w:tcBorders>
              <w:top w:val="nil"/>
              <w:left w:val="nil"/>
              <w:bottom w:val="nil"/>
              <w:right w:val="single" w:sz="6" w:space="0" w:color="auto"/>
            </w:tcBorders>
            <w:tcMar>
              <w:bottom w:w="29" w:type="dxa"/>
            </w:tcMar>
            <w:vAlign w:val="bottom"/>
          </w:tcPr>
          <w:p w:rsidR="00076044" w:rsidRDefault="003947E8" w:rsidP="002E3CFA">
            <w:pPr>
              <w:tabs>
                <w:tab w:val="left" w:pos="360"/>
                <w:tab w:val="left" w:pos="720"/>
                <w:tab w:val="left" w:pos="1440"/>
                <w:tab w:val="left" w:pos="2160"/>
                <w:tab w:val="left" w:pos="2880"/>
                <w:tab w:val="left" w:pos="3600"/>
                <w:tab w:val="left" w:pos="4320"/>
                <w:tab w:val="left" w:pos="5040"/>
              </w:tabs>
              <w:jc w:val="center"/>
            </w:pPr>
            <w:r>
              <w:t xml:space="preserve">Up to </w:t>
            </w:r>
            <w:r w:rsidR="00B7260C">
              <w:t>$14,400,000,000</w:t>
            </w:r>
          </w:p>
        </w:tc>
      </w:tr>
      <w:tr w:rsidR="00076044" w:rsidTr="00655348">
        <w:trPr>
          <w:gridAfter w:val="1"/>
          <w:wAfter w:w="15" w:type="dxa"/>
          <w:trHeight w:val="410"/>
        </w:trPr>
        <w:tc>
          <w:tcPr>
            <w:tcW w:w="3330" w:type="dxa"/>
            <w:tcBorders>
              <w:top w:val="nil"/>
              <w:left w:val="single" w:sz="6" w:space="0" w:color="auto"/>
              <w:bottom w:val="nil"/>
              <w:right w:val="nil"/>
            </w:tcBorders>
            <w:tcMar>
              <w:bottom w:w="29" w:type="dxa"/>
            </w:tcMar>
            <w:vAlign w:val="center"/>
          </w:tcPr>
          <w:p w:rsidR="00076044" w:rsidRPr="00537A2A" w:rsidRDefault="00076044" w:rsidP="00655348">
            <w:pPr>
              <w:tabs>
                <w:tab w:val="left" w:pos="360"/>
                <w:tab w:val="left" w:pos="720"/>
                <w:tab w:val="left" w:pos="1440"/>
                <w:tab w:val="left" w:pos="2160"/>
                <w:tab w:val="left" w:pos="2880"/>
                <w:tab w:val="left" w:pos="3600"/>
                <w:tab w:val="left" w:pos="4320"/>
                <w:tab w:val="left" w:pos="5040"/>
              </w:tabs>
              <w:rPr>
                <w:b/>
              </w:rPr>
            </w:pPr>
            <w:r w:rsidRPr="00537A2A">
              <w:rPr>
                <w:b/>
              </w:rPr>
              <w:t xml:space="preserve">Indirect </w:t>
            </w:r>
            <w:r w:rsidRPr="00537A2A">
              <w:rPr>
                <w:b/>
                <w:u w:val="single"/>
              </w:rPr>
              <w:t>State</w:t>
            </w:r>
            <w:r w:rsidRPr="00537A2A">
              <w:rPr>
                <w:b/>
              </w:rPr>
              <w:t xml:space="preserve"> Revenue Gain</w:t>
            </w:r>
          </w:p>
        </w:tc>
        <w:tc>
          <w:tcPr>
            <w:tcW w:w="6030" w:type="dxa"/>
            <w:tcBorders>
              <w:top w:val="nil"/>
              <w:left w:val="nil"/>
              <w:bottom w:val="nil"/>
              <w:right w:val="single" w:sz="6" w:space="0" w:color="auto"/>
            </w:tcBorders>
            <w:tcMar>
              <w:bottom w:w="29" w:type="dxa"/>
            </w:tcMar>
            <w:vAlign w:val="bottom"/>
          </w:tcPr>
          <w:p w:rsidR="00076044" w:rsidRDefault="00076044" w:rsidP="002E3CFA">
            <w:pPr>
              <w:tabs>
                <w:tab w:val="left" w:pos="360"/>
                <w:tab w:val="left" w:pos="720"/>
                <w:tab w:val="left" w:pos="1440"/>
                <w:tab w:val="left" w:pos="2160"/>
                <w:tab w:val="left" w:pos="2880"/>
                <w:tab w:val="left" w:pos="3600"/>
                <w:tab w:val="left" w:pos="4320"/>
                <w:tab w:val="left" w:pos="5040"/>
              </w:tabs>
              <w:jc w:val="center"/>
            </w:pPr>
            <w:r w:rsidRPr="00AD426E">
              <w:t>Indeterminate</w:t>
            </w:r>
          </w:p>
        </w:tc>
      </w:tr>
      <w:tr w:rsidR="00076044" w:rsidTr="00655348">
        <w:trPr>
          <w:gridAfter w:val="1"/>
          <w:wAfter w:w="15" w:type="dxa"/>
          <w:trHeight w:val="410"/>
        </w:trPr>
        <w:tc>
          <w:tcPr>
            <w:tcW w:w="3330" w:type="dxa"/>
            <w:tcBorders>
              <w:top w:val="nil"/>
              <w:left w:val="single" w:sz="6" w:space="0" w:color="auto"/>
              <w:bottom w:val="nil"/>
              <w:right w:val="nil"/>
            </w:tcBorders>
            <w:tcMar>
              <w:bottom w:w="29" w:type="dxa"/>
            </w:tcMar>
            <w:vAlign w:val="center"/>
          </w:tcPr>
          <w:p w:rsidR="00076044" w:rsidRPr="00537A2A" w:rsidRDefault="00076044" w:rsidP="00655348">
            <w:pPr>
              <w:tabs>
                <w:tab w:val="left" w:pos="360"/>
                <w:tab w:val="left" w:pos="720"/>
                <w:tab w:val="left" w:pos="1440"/>
                <w:tab w:val="left" w:pos="2160"/>
                <w:tab w:val="left" w:pos="2880"/>
                <w:tab w:val="left" w:pos="3600"/>
                <w:tab w:val="left" w:pos="4320"/>
                <w:tab w:val="left" w:pos="5040"/>
              </w:tabs>
              <w:rPr>
                <w:b/>
              </w:rPr>
            </w:pPr>
            <w:r w:rsidRPr="00537A2A">
              <w:rPr>
                <w:b/>
                <w:u w:val="single"/>
              </w:rPr>
              <w:t>State</w:t>
            </w:r>
            <w:r w:rsidRPr="00537A2A">
              <w:rPr>
                <w:b/>
              </w:rPr>
              <w:t xml:space="preserve"> </w:t>
            </w:r>
            <w:smartTag w:uri="urn:schemas-microsoft-com:office:smarttags" w:element="place">
              <w:r w:rsidRPr="00537A2A">
                <w:rPr>
                  <w:b/>
                </w:rPr>
                <w:t>Opportunity</w:t>
              </w:r>
            </w:smartTag>
            <w:r w:rsidRPr="00537A2A">
              <w:rPr>
                <w:b/>
              </w:rPr>
              <w:t xml:space="preserve"> Cost</w:t>
            </w:r>
          </w:p>
        </w:tc>
        <w:tc>
          <w:tcPr>
            <w:tcW w:w="6030" w:type="dxa"/>
            <w:tcBorders>
              <w:top w:val="nil"/>
              <w:left w:val="nil"/>
              <w:bottom w:val="nil"/>
              <w:right w:val="single" w:sz="6" w:space="0" w:color="auto"/>
            </w:tcBorders>
            <w:tcMar>
              <w:bottom w:w="29" w:type="dxa"/>
            </w:tcMar>
            <w:vAlign w:val="bottom"/>
          </w:tcPr>
          <w:p w:rsidR="00076044" w:rsidRDefault="00076044" w:rsidP="002E3CFA">
            <w:pPr>
              <w:tabs>
                <w:tab w:val="left" w:pos="360"/>
                <w:tab w:val="left" w:pos="720"/>
                <w:tab w:val="left" w:pos="1440"/>
                <w:tab w:val="left" w:pos="2160"/>
                <w:tab w:val="left" w:pos="2880"/>
                <w:tab w:val="left" w:pos="3600"/>
                <w:tab w:val="left" w:pos="4320"/>
                <w:tab w:val="left" w:pos="5040"/>
              </w:tabs>
              <w:jc w:val="center"/>
            </w:pPr>
            <w:r w:rsidRPr="00AD426E">
              <w:t>Indeterminate</w:t>
            </w:r>
          </w:p>
        </w:tc>
      </w:tr>
      <w:tr w:rsidR="00076044" w:rsidTr="00655348">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076044" w:rsidRPr="00537A2A" w:rsidRDefault="00076044" w:rsidP="00655348">
            <w:pPr>
              <w:tabs>
                <w:tab w:val="left" w:pos="360"/>
                <w:tab w:val="left" w:pos="720"/>
                <w:tab w:val="left" w:pos="1440"/>
                <w:tab w:val="left" w:pos="2160"/>
                <w:tab w:val="left" w:pos="2880"/>
                <w:tab w:val="left" w:pos="3600"/>
                <w:tab w:val="left" w:pos="4320"/>
                <w:tab w:val="left" w:pos="5040"/>
              </w:tabs>
              <w:rPr>
                <w:b/>
              </w:rPr>
            </w:pPr>
            <w:r w:rsidRPr="00537A2A">
              <w:rPr>
                <w:b/>
              </w:rPr>
              <w:t xml:space="preserve">Indirect </w:t>
            </w:r>
            <w:r w:rsidRPr="00537A2A">
              <w:rPr>
                <w:b/>
                <w:u w:val="single"/>
              </w:rPr>
              <w:t>Local</w:t>
            </w:r>
            <w:r w:rsidRPr="00537A2A">
              <w:rPr>
                <w:b/>
              </w:rPr>
              <w:t xml:space="preserve"> Revenue Gain</w:t>
            </w:r>
          </w:p>
        </w:tc>
        <w:tc>
          <w:tcPr>
            <w:tcW w:w="6030" w:type="dxa"/>
            <w:tcBorders>
              <w:top w:val="nil"/>
              <w:left w:val="nil"/>
              <w:bottom w:val="nil"/>
              <w:right w:val="single" w:sz="6" w:space="0" w:color="auto"/>
            </w:tcBorders>
            <w:tcMar>
              <w:bottom w:w="29" w:type="dxa"/>
            </w:tcMar>
            <w:vAlign w:val="bottom"/>
          </w:tcPr>
          <w:p w:rsidR="00076044" w:rsidRDefault="00076044" w:rsidP="002E3CFA">
            <w:pPr>
              <w:tabs>
                <w:tab w:val="left" w:pos="360"/>
                <w:tab w:val="left" w:pos="720"/>
                <w:tab w:val="left" w:pos="1440"/>
                <w:tab w:val="left" w:pos="2160"/>
                <w:tab w:val="left" w:pos="2880"/>
                <w:tab w:val="left" w:pos="3600"/>
                <w:tab w:val="left" w:pos="4320"/>
                <w:tab w:val="left" w:pos="5040"/>
              </w:tabs>
              <w:jc w:val="center"/>
            </w:pPr>
            <w:r w:rsidRPr="00AD426E">
              <w:t>Indeterminate</w:t>
            </w:r>
          </w:p>
        </w:tc>
      </w:tr>
      <w:tr w:rsidR="00076044" w:rsidTr="00655348">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076044" w:rsidRPr="00537A2A" w:rsidRDefault="00076044" w:rsidP="00655348">
            <w:pPr>
              <w:tabs>
                <w:tab w:val="left" w:pos="360"/>
                <w:tab w:val="left" w:pos="720"/>
                <w:tab w:val="left" w:pos="1440"/>
                <w:tab w:val="left" w:pos="2160"/>
                <w:tab w:val="left" w:pos="2880"/>
                <w:tab w:val="left" w:pos="3600"/>
                <w:tab w:val="left" w:pos="4320"/>
                <w:tab w:val="left" w:pos="5040"/>
              </w:tabs>
              <w:rPr>
                <w:b/>
              </w:rPr>
            </w:pPr>
            <w:r>
              <w:rPr>
                <w:b/>
                <w:u w:val="single"/>
              </w:rPr>
              <w:t>Local</w:t>
            </w:r>
            <w:r w:rsidRPr="00537A2A">
              <w:rPr>
                <w:b/>
              </w:rPr>
              <w:t xml:space="preserve"> </w:t>
            </w:r>
            <w:smartTag w:uri="urn:schemas-microsoft-com:office:smarttags" w:element="place">
              <w:r w:rsidRPr="00537A2A">
                <w:rPr>
                  <w:b/>
                </w:rPr>
                <w:t>Opportunity</w:t>
              </w:r>
            </w:smartTag>
            <w:r w:rsidRPr="00537A2A">
              <w:rPr>
                <w:b/>
              </w:rPr>
              <w:t xml:space="preserve"> Cost</w:t>
            </w:r>
          </w:p>
        </w:tc>
        <w:tc>
          <w:tcPr>
            <w:tcW w:w="6030" w:type="dxa"/>
            <w:tcBorders>
              <w:top w:val="nil"/>
              <w:left w:val="nil"/>
              <w:bottom w:val="nil"/>
              <w:right w:val="single" w:sz="6" w:space="0" w:color="auto"/>
            </w:tcBorders>
            <w:tcMar>
              <w:bottom w:w="29" w:type="dxa"/>
            </w:tcMar>
            <w:vAlign w:val="bottom"/>
          </w:tcPr>
          <w:p w:rsidR="00076044" w:rsidRDefault="00076044" w:rsidP="009A630B">
            <w:pPr>
              <w:tabs>
                <w:tab w:val="left" w:pos="360"/>
                <w:tab w:val="left" w:pos="720"/>
                <w:tab w:val="left" w:pos="1440"/>
                <w:tab w:val="left" w:pos="2160"/>
                <w:tab w:val="left" w:pos="2880"/>
                <w:tab w:val="left" w:pos="3600"/>
                <w:tab w:val="left" w:pos="4320"/>
                <w:tab w:val="left" w:pos="5040"/>
              </w:tabs>
              <w:jc w:val="center"/>
            </w:pPr>
            <w:r w:rsidRPr="00AD426E">
              <w:t>Indeterminate</w:t>
            </w:r>
          </w:p>
        </w:tc>
      </w:tr>
      <w:tr w:rsidR="00076044" w:rsidTr="00655348">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076044" w:rsidRDefault="00076044" w:rsidP="00655348">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2E3CFA" w:rsidRDefault="008B1D45" w:rsidP="004D13C7">
      <w:pPr>
        <w:pStyle w:val="StyleBulletedSymbolsymbol"/>
        <w:spacing w:after="0"/>
      </w:pPr>
      <w:r w:rsidRPr="008B1D45">
        <w:t xml:space="preserve">The </w:t>
      </w:r>
      <w:r>
        <w:t>Office of Legislative Services (</w:t>
      </w:r>
      <w:r w:rsidRPr="008B1D45">
        <w:t>OLS</w:t>
      </w:r>
      <w:r>
        <w:t>)</w:t>
      </w:r>
      <w:r w:rsidRPr="008B1D45">
        <w:t xml:space="preserve"> is unable to ascertain whether the bill will have a positive or negative fiscal net impact on the State</w:t>
      </w:r>
      <w:r w:rsidR="002E3CFA">
        <w:t xml:space="preserve"> because of imperfect information on the number and attributes of projects that will</w:t>
      </w:r>
      <w:r w:rsidRPr="008B1D45">
        <w:t xml:space="preserve"> receive incentives as </w:t>
      </w:r>
      <w:r w:rsidR="002E3CFA">
        <w:t>a result of the bill’s enactment</w:t>
      </w:r>
      <w:r w:rsidRPr="008B1D45">
        <w:t xml:space="preserve">.  </w:t>
      </w:r>
    </w:p>
    <w:p w:rsidR="004D13C7" w:rsidRDefault="004D13C7">
      <w:pPr>
        <w:spacing w:line="240" w:lineRule="auto"/>
        <w:jc w:val="left"/>
      </w:pPr>
      <w:r>
        <w:br w:type="page"/>
      </w:r>
    </w:p>
    <w:p w:rsidR="00191301" w:rsidRDefault="00191301" w:rsidP="004D13C7">
      <w:pPr>
        <w:pStyle w:val="StyleBulletedSymbolsymbol"/>
        <w:spacing w:after="0"/>
      </w:pPr>
      <w:r>
        <w:lastRenderedPageBreak/>
        <w:t xml:space="preserve">The State fiscal net impact is calculated by adding the indeterminate direct revenue loss from awarding additional incentive amounts and their indeterminate opportunity costs (the fiscal benefits the State forgoes as spending is redirected from one economic activity to another) and subtracting from that sum the indeterminate indirect revenue gain that will accrue from additional economic activity that the additional incentive amounts will catalyze.  </w:t>
      </w:r>
    </w:p>
    <w:p w:rsidR="004D13C7" w:rsidRDefault="004D13C7" w:rsidP="004D13C7">
      <w:pPr>
        <w:pStyle w:val="StyleBulletedSymbolsymbol"/>
        <w:numPr>
          <w:ilvl w:val="0"/>
          <w:numId w:val="0"/>
        </w:numPr>
        <w:spacing w:after="0"/>
        <w:ind w:left="360" w:hanging="360"/>
      </w:pPr>
    </w:p>
    <w:p w:rsidR="00E62272" w:rsidRDefault="00A4724E" w:rsidP="004D13C7">
      <w:pPr>
        <w:pStyle w:val="StyleBulletedSymbolsymbol"/>
        <w:spacing w:after="0"/>
      </w:pPr>
      <w:r>
        <w:t>T</w:t>
      </w:r>
      <w:r w:rsidR="00EA09E4">
        <w:t>he</w:t>
      </w:r>
      <w:r w:rsidR="00E62272">
        <w:t xml:space="preserve"> bill </w:t>
      </w:r>
      <w:r w:rsidR="00EA09E4">
        <w:t>may</w:t>
      </w:r>
      <w:r w:rsidR="00E62272">
        <w:t xml:space="preserve"> produce</w:t>
      </w:r>
      <w:r>
        <w:t xml:space="preserve"> a direct </w:t>
      </w:r>
      <w:r w:rsidR="00EA09E4">
        <w:t xml:space="preserve">State </w:t>
      </w:r>
      <w:r>
        <w:t xml:space="preserve">revenue loss of as much as $14.4 billion, over a multi-year period, from newly established incentive programs and enhancements to existing </w:t>
      </w:r>
      <w:r w:rsidR="00EA09E4">
        <w:t>ones</w:t>
      </w:r>
      <w:r w:rsidR="00E62272">
        <w:t>.</w:t>
      </w:r>
      <w:r>
        <w:t xml:space="preserve"> </w:t>
      </w:r>
    </w:p>
    <w:p w:rsidR="004D13C7" w:rsidRDefault="004D13C7" w:rsidP="004D13C7">
      <w:pPr>
        <w:pStyle w:val="ListParagraph"/>
      </w:pPr>
    </w:p>
    <w:p w:rsidR="00A4724E" w:rsidRDefault="00E62272" w:rsidP="004D13C7">
      <w:pPr>
        <w:pStyle w:val="StyleBulletedSymbolsymbol"/>
        <w:spacing w:after="0"/>
      </w:pPr>
      <w:r>
        <w:t xml:space="preserve">State expenditures will increase by </w:t>
      </w:r>
      <w:r w:rsidR="00A4724E">
        <w:t xml:space="preserve">$55.5 million </w:t>
      </w:r>
      <w:r w:rsidR="00786754">
        <w:t>reflecting</w:t>
      </w:r>
      <w:r w:rsidR="00A4724E">
        <w:t xml:space="preserve"> a</w:t>
      </w:r>
      <w:r w:rsidR="00A4724E" w:rsidRPr="00433E76">
        <w:t>ppropriat</w:t>
      </w:r>
      <w:r w:rsidR="00A4724E">
        <w:t>ions</w:t>
      </w:r>
      <w:r w:rsidR="00A4724E" w:rsidRPr="00433E76">
        <w:t xml:space="preserve"> to support </w:t>
      </w:r>
      <w:r w:rsidR="00525773">
        <w:t>certain</w:t>
      </w:r>
      <w:r w:rsidR="00A4724E">
        <w:t xml:space="preserve"> </w:t>
      </w:r>
      <w:r w:rsidR="00A4724E" w:rsidRPr="00433E76">
        <w:t>programs and administrative operations</w:t>
      </w:r>
      <w:r w:rsidR="00A4724E">
        <w:t>.</w:t>
      </w:r>
    </w:p>
    <w:p w:rsidR="004D13C7" w:rsidRDefault="004D13C7" w:rsidP="004D13C7">
      <w:pPr>
        <w:pStyle w:val="ListParagraph"/>
      </w:pPr>
    </w:p>
    <w:p w:rsidR="00191301" w:rsidRDefault="00191301" w:rsidP="00191301">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w:t>
      </w:r>
      <w:r w:rsidR="008B1D45">
        <w:t>bill</w:t>
      </w:r>
      <w:r>
        <w:t xml:space="preserve"> might accrue an indeterminate revenue gain to </w:t>
      </w:r>
      <w:r w:rsidR="008B1D45">
        <w:t>certain</w:t>
      </w:r>
      <w:r>
        <w:t xml:space="preserve"> local governments if the bill results in the New Jersey Economic Development Authority (EDA) extending financial assistance to projects</w:t>
      </w:r>
      <w:r w:rsidR="008B1D45">
        <w:t xml:space="preserve"> </w:t>
      </w:r>
      <w:r>
        <w:t>that would not be undertaken absent the assistance and if the projects involve value-increasing improvements to taxable real estate.</w:t>
      </w:r>
    </w:p>
    <w:p w:rsidR="00255944" w:rsidRDefault="00255944" w:rsidP="007E5EB3"/>
    <w:p w:rsidR="004D13C7" w:rsidRDefault="004D13C7"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478E1"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8B213D" w:rsidRPr="008B213D">
        <w:t>This bill authorizes up to $</w:t>
      </w:r>
      <w:r w:rsidR="00722471">
        <w:t>11.5</w:t>
      </w:r>
      <w:r w:rsidR="008B213D" w:rsidRPr="008B213D">
        <w:t xml:space="preserve"> billion in </w:t>
      </w:r>
      <w:r w:rsidR="00471DC7">
        <w:t xml:space="preserve">new </w:t>
      </w:r>
      <w:r w:rsidR="008B213D" w:rsidRPr="008B213D">
        <w:t xml:space="preserve">economic development incentives over a </w:t>
      </w:r>
      <w:r w:rsidR="00006994">
        <w:t>seven</w:t>
      </w:r>
      <w:r w:rsidR="008B213D" w:rsidRPr="008B213D">
        <w:t xml:space="preserve">-year period, allocated among </w:t>
      </w:r>
      <w:r w:rsidR="00722471">
        <w:t>seven</w:t>
      </w:r>
      <w:r w:rsidR="008B213D" w:rsidRPr="008B213D">
        <w:t xml:space="preserve"> separate programs.  The table below summarizes key fiscal aspects of each program.  </w:t>
      </w:r>
    </w:p>
    <w:p w:rsidR="00C478E1" w:rsidRDefault="00C478E1" w:rsidP="002D7863">
      <w:pPr>
        <w:tabs>
          <w:tab w:val="left" w:pos="360"/>
          <w:tab w:val="left" w:pos="720"/>
          <w:tab w:val="left" w:pos="1440"/>
          <w:tab w:val="left" w:pos="2160"/>
          <w:tab w:val="left" w:pos="2880"/>
          <w:tab w:val="left" w:pos="3600"/>
          <w:tab w:val="left" w:pos="4320"/>
          <w:tab w:val="left" w:pos="5040"/>
        </w:tabs>
      </w:pPr>
    </w:p>
    <w:tbl>
      <w:tblPr>
        <w:tblStyle w:val="TableGrid"/>
        <w:tblW w:w="9900" w:type="dxa"/>
        <w:tblInd w:w="-162" w:type="dxa"/>
        <w:tblLayout w:type="fixed"/>
        <w:tblLook w:val="04A0" w:firstRow="1" w:lastRow="0" w:firstColumn="1" w:lastColumn="0" w:noHBand="0" w:noVBand="1"/>
      </w:tblPr>
      <w:tblGrid>
        <w:gridCol w:w="1620"/>
        <w:gridCol w:w="1440"/>
        <w:gridCol w:w="1620"/>
        <w:gridCol w:w="1170"/>
        <w:gridCol w:w="1170"/>
        <w:gridCol w:w="1350"/>
        <w:gridCol w:w="1530"/>
      </w:tblGrid>
      <w:tr w:rsidR="00213676" w:rsidTr="001C3988">
        <w:trPr>
          <w:trHeight w:val="1268"/>
        </w:trPr>
        <w:tc>
          <w:tcPr>
            <w:tcW w:w="1620" w:type="dxa"/>
            <w:vAlign w:val="center"/>
          </w:tcPr>
          <w:p w:rsidR="00213676" w:rsidRPr="00722471" w:rsidRDefault="00213676" w:rsidP="00E802DE">
            <w:pPr>
              <w:tabs>
                <w:tab w:val="left" w:pos="360"/>
                <w:tab w:val="left" w:pos="720"/>
                <w:tab w:val="left" w:pos="1440"/>
                <w:tab w:val="left" w:pos="2160"/>
                <w:tab w:val="left" w:pos="2880"/>
                <w:tab w:val="left" w:pos="3600"/>
                <w:tab w:val="left" w:pos="4320"/>
                <w:tab w:val="left" w:pos="5040"/>
              </w:tabs>
              <w:jc w:val="center"/>
              <w:rPr>
                <w:b/>
                <w:bCs/>
                <w:sz w:val="20"/>
                <w:szCs w:val="20"/>
              </w:rPr>
            </w:pPr>
            <w:r w:rsidRPr="00722471">
              <w:rPr>
                <w:b/>
                <w:bCs/>
                <w:sz w:val="20"/>
                <w:szCs w:val="20"/>
              </w:rPr>
              <w:t>Program</w:t>
            </w:r>
          </w:p>
        </w:tc>
        <w:tc>
          <w:tcPr>
            <w:tcW w:w="1440" w:type="dxa"/>
            <w:vAlign w:val="center"/>
          </w:tcPr>
          <w:p w:rsidR="00213676" w:rsidRPr="00722471" w:rsidRDefault="00213676" w:rsidP="00E802DE">
            <w:pPr>
              <w:tabs>
                <w:tab w:val="left" w:pos="360"/>
                <w:tab w:val="left" w:pos="720"/>
                <w:tab w:val="left" w:pos="1440"/>
                <w:tab w:val="left" w:pos="2160"/>
                <w:tab w:val="left" w:pos="2880"/>
                <w:tab w:val="left" w:pos="3600"/>
                <w:tab w:val="left" w:pos="4320"/>
                <w:tab w:val="left" w:pos="5040"/>
              </w:tabs>
              <w:jc w:val="center"/>
              <w:rPr>
                <w:b/>
                <w:bCs/>
                <w:sz w:val="20"/>
                <w:szCs w:val="20"/>
              </w:rPr>
            </w:pPr>
            <w:r w:rsidRPr="00722471">
              <w:rPr>
                <w:b/>
                <w:bCs/>
                <w:sz w:val="20"/>
                <w:szCs w:val="20"/>
              </w:rPr>
              <w:t>Historic Property Reinvestment</w:t>
            </w:r>
          </w:p>
        </w:tc>
        <w:tc>
          <w:tcPr>
            <w:tcW w:w="1620" w:type="dxa"/>
            <w:vAlign w:val="center"/>
          </w:tcPr>
          <w:p w:rsidR="00213676" w:rsidRPr="00722471" w:rsidRDefault="00213676" w:rsidP="00E802DE">
            <w:pPr>
              <w:tabs>
                <w:tab w:val="left" w:pos="360"/>
                <w:tab w:val="left" w:pos="720"/>
                <w:tab w:val="left" w:pos="1440"/>
                <w:tab w:val="left" w:pos="2160"/>
                <w:tab w:val="left" w:pos="2880"/>
                <w:tab w:val="left" w:pos="3600"/>
                <w:tab w:val="left" w:pos="4320"/>
                <w:tab w:val="left" w:pos="5040"/>
              </w:tabs>
              <w:jc w:val="center"/>
              <w:rPr>
                <w:b/>
                <w:bCs/>
                <w:sz w:val="20"/>
                <w:szCs w:val="20"/>
              </w:rPr>
            </w:pPr>
            <w:r w:rsidRPr="00722471">
              <w:rPr>
                <w:b/>
                <w:bCs/>
                <w:sz w:val="20"/>
                <w:szCs w:val="20"/>
              </w:rPr>
              <w:t>Brownfield Redevelopment Incentive Program</w:t>
            </w:r>
          </w:p>
        </w:tc>
        <w:tc>
          <w:tcPr>
            <w:tcW w:w="1170" w:type="dxa"/>
            <w:vAlign w:val="center"/>
          </w:tcPr>
          <w:p w:rsidR="00213676" w:rsidRPr="00722471" w:rsidRDefault="00213676" w:rsidP="00E802DE">
            <w:pPr>
              <w:tabs>
                <w:tab w:val="left" w:pos="360"/>
                <w:tab w:val="left" w:pos="720"/>
                <w:tab w:val="left" w:pos="1440"/>
                <w:tab w:val="left" w:pos="2160"/>
                <w:tab w:val="left" w:pos="2880"/>
                <w:tab w:val="left" w:pos="3600"/>
                <w:tab w:val="left" w:pos="4320"/>
                <w:tab w:val="left" w:pos="5040"/>
              </w:tabs>
              <w:jc w:val="center"/>
              <w:rPr>
                <w:b/>
                <w:bCs/>
                <w:sz w:val="20"/>
                <w:szCs w:val="20"/>
              </w:rPr>
            </w:pPr>
            <w:r w:rsidRPr="00722471">
              <w:rPr>
                <w:b/>
                <w:bCs/>
                <w:sz w:val="20"/>
                <w:szCs w:val="20"/>
              </w:rPr>
              <w:t>New Jersey Innovation Evergreen</w:t>
            </w:r>
          </w:p>
        </w:tc>
        <w:tc>
          <w:tcPr>
            <w:tcW w:w="1170" w:type="dxa"/>
            <w:vAlign w:val="center"/>
          </w:tcPr>
          <w:p w:rsidR="00213676" w:rsidRPr="00722471" w:rsidRDefault="00213676" w:rsidP="00E802DE">
            <w:pPr>
              <w:tabs>
                <w:tab w:val="left" w:pos="360"/>
                <w:tab w:val="left" w:pos="720"/>
                <w:tab w:val="left" w:pos="1440"/>
                <w:tab w:val="left" w:pos="2160"/>
                <w:tab w:val="left" w:pos="2880"/>
                <w:tab w:val="left" w:pos="3600"/>
                <w:tab w:val="left" w:pos="4320"/>
                <w:tab w:val="left" w:pos="5040"/>
              </w:tabs>
              <w:jc w:val="center"/>
              <w:rPr>
                <w:b/>
                <w:bCs/>
                <w:sz w:val="20"/>
                <w:szCs w:val="20"/>
              </w:rPr>
            </w:pPr>
            <w:r w:rsidRPr="00722471">
              <w:rPr>
                <w:b/>
                <w:bCs/>
                <w:sz w:val="20"/>
                <w:szCs w:val="20"/>
              </w:rPr>
              <w:t>Food Desert Relief</w:t>
            </w:r>
          </w:p>
        </w:tc>
        <w:tc>
          <w:tcPr>
            <w:tcW w:w="1350" w:type="dxa"/>
            <w:vAlign w:val="center"/>
          </w:tcPr>
          <w:p w:rsidR="00213676" w:rsidRPr="00722471" w:rsidRDefault="00213676" w:rsidP="00E802DE">
            <w:pPr>
              <w:tabs>
                <w:tab w:val="left" w:pos="360"/>
                <w:tab w:val="left" w:pos="720"/>
                <w:tab w:val="left" w:pos="1440"/>
                <w:tab w:val="left" w:pos="2160"/>
                <w:tab w:val="left" w:pos="2880"/>
                <w:tab w:val="left" w:pos="3600"/>
                <w:tab w:val="left" w:pos="4320"/>
                <w:tab w:val="left" w:pos="5040"/>
              </w:tabs>
              <w:jc w:val="center"/>
              <w:rPr>
                <w:b/>
                <w:bCs/>
                <w:sz w:val="20"/>
                <w:szCs w:val="20"/>
              </w:rPr>
            </w:pPr>
            <w:r w:rsidRPr="00722471">
              <w:rPr>
                <w:b/>
                <w:bCs/>
                <w:sz w:val="20"/>
                <w:szCs w:val="20"/>
              </w:rPr>
              <w:t>New Jersey Community-Anchored Development</w:t>
            </w:r>
          </w:p>
        </w:tc>
        <w:tc>
          <w:tcPr>
            <w:tcW w:w="1530" w:type="dxa"/>
            <w:vAlign w:val="center"/>
          </w:tcPr>
          <w:p w:rsidR="00213676" w:rsidRPr="00722471" w:rsidRDefault="00213676" w:rsidP="00E802DE">
            <w:pPr>
              <w:tabs>
                <w:tab w:val="left" w:pos="360"/>
                <w:tab w:val="left" w:pos="720"/>
                <w:tab w:val="left" w:pos="1440"/>
                <w:tab w:val="left" w:pos="2160"/>
                <w:tab w:val="left" w:pos="2880"/>
                <w:tab w:val="left" w:pos="3600"/>
                <w:tab w:val="left" w:pos="4320"/>
                <w:tab w:val="left" w:pos="5040"/>
              </w:tabs>
              <w:jc w:val="center"/>
              <w:rPr>
                <w:b/>
                <w:bCs/>
                <w:sz w:val="20"/>
                <w:szCs w:val="20"/>
              </w:rPr>
            </w:pPr>
            <w:r w:rsidRPr="00722471">
              <w:rPr>
                <w:b/>
                <w:bCs/>
                <w:sz w:val="20"/>
                <w:szCs w:val="20"/>
              </w:rPr>
              <w:t xml:space="preserve">New Jersey Aspire </w:t>
            </w:r>
            <w:r>
              <w:rPr>
                <w:b/>
                <w:bCs/>
                <w:sz w:val="20"/>
                <w:szCs w:val="20"/>
              </w:rPr>
              <w:t xml:space="preserve">and Emerge </w:t>
            </w:r>
            <w:r w:rsidRPr="00722471">
              <w:rPr>
                <w:b/>
                <w:bCs/>
                <w:sz w:val="20"/>
                <w:szCs w:val="20"/>
              </w:rPr>
              <w:t>Program</w:t>
            </w:r>
            <w:r>
              <w:rPr>
                <w:b/>
                <w:bCs/>
                <w:sz w:val="20"/>
                <w:szCs w:val="20"/>
              </w:rPr>
              <w:t>s</w:t>
            </w:r>
          </w:p>
        </w:tc>
      </w:tr>
      <w:tr w:rsidR="00213676" w:rsidTr="001C3988">
        <w:tc>
          <w:tcPr>
            <w:tcW w:w="1620" w:type="dxa"/>
            <w:vAlign w:val="center"/>
          </w:tcPr>
          <w:p w:rsidR="00213676" w:rsidRPr="00103014" w:rsidRDefault="00213676" w:rsidP="00E802DE">
            <w:pPr>
              <w:tabs>
                <w:tab w:val="left" w:pos="360"/>
                <w:tab w:val="left" w:pos="720"/>
                <w:tab w:val="left" w:pos="1440"/>
                <w:tab w:val="left" w:pos="2160"/>
                <w:tab w:val="left" w:pos="2880"/>
                <w:tab w:val="left" w:pos="3600"/>
                <w:tab w:val="left" w:pos="4320"/>
                <w:tab w:val="left" w:pos="5040"/>
              </w:tabs>
              <w:jc w:val="right"/>
              <w:rPr>
                <w:sz w:val="22"/>
                <w:szCs w:val="22"/>
              </w:rPr>
            </w:pPr>
            <w:r w:rsidRPr="00103014">
              <w:rPr>
                <w:sz w:val="22"/>
                <w:szCs w:val="22"/>
              </w:rPr>
              <w:t>Limits</w:t>
            </w:r>
          </w:p>
        </w:tc>
        <w:tc>
          <w:tcPr>
            <w:tcW w:w="1440" w:type="dxa"/>
            <w:vAlign w:val="center"/>
          </w:tcPr>
          <w:p w:rsidR="00213676" w:rsidRPr="00103014" w:rsidRDefault="00213676" w:rsidP="00E802DE">
            <w:pPr>
              <w:tabs>
                <w:tab w:val="left" w:pos="360"/>
                <w:tab w:val="left" w:pos="720"/>
                <w:tab w:val="left" w:pos="1440"/>
                <w:tab w:val="left" w:pos="2160"/>
                <w:tab w:val="left" w:pos="2880"/>
                <w:tab w:val="left" w:pos="3600"/>
                <w:tab w:val="left" w:pos="4320"/>
                <w:tab w:val="left" w:pos="5040"/>
              </w:tabs>
              <w:jc w:val="center"/>
              <w:rPr>
                <w:sz w:val="22"/>
                <w:szCs w:val="22"/>
              </w:rPr>
            </w:pPr>
            <w:r w:rsidRPr="00103014">
              <w:rPr>
                <w:sz w:val="22"/>
                <w:szCs w:val="22"/>
              </w:rPr>
              <w:t>$50 million annually</w:t>
            </w:r>
          </w:p>
        </w:tc>
        <w:tc>
          <w:tcPr>
            <w:tcW w:w="1620" w:type="dxa"/>
            <w:vAlign w:val="center"/>
          </w:tcPr>
          <w:p w:rsidR="00213676" w:rsidRPr="00103014" w:rsidRDefault="00213676" w:rsidP="00E802DE">
            <w:pPr>
              <w:tabs>
                <w:tab w:val="left" w:pos="360"/>
                <w:tab w:val="left" w:pos="720"/>
                <w:tab w:val="left" w:pos="1440"/>
                <w:tab w:val="left" w:pos="2160"/>
                <w:tab w:val="left" w:pos="2880"/>
                <w:tab w:val="left" w:pos="3600"/>
                <w:tab w:val="left" w:pos="4320"/>
                <w:tab w:val="left" w:pos="5040"/>
              </w:tabs>
              <w:jc w:val="center"/>
              <w:rPr>
                <w:sz w:val="22"/>
                <w:szCs w:val="22"/>
              </w:rPr>
            </w:pPr>
            <w:r w:rsidRPr="00103014">
              <w:rPr>
                <w:sz w:val="22"/>
                <w:szCs w:val="22"/>
              </w:rPr>
              <w:t>$50 million annually</w:t>
            </w:r>
          </w:p>
        </w:tc>
        <w:tc>
          <w:tcPr>
            <w:tcW w:w="1170" w:type="dxa"/>
            <w:vAlign w:val="center"/>
          </w:tcPr>
          <w:p w:rsidR="00213676" w:rsidRPr="00103014" w:rsidRDefault="00213676" w:rsidP="00E802DE">
            <w:pPr>
              <w:tabs>
                <w:tab w:val="left" w:pos="360"/>
                <w:tab w:val="left" w:pos="720"/>
                <w:tab w:val="left" w:pos="1440"/>
                <w:tab w:val="left" w:pos="2160"/>
                <w:tab w:val="left" w:pos="2880"/>
                <w:tab w:val="left" w:pos="3600"/>
                <w:tab w:val="left" w:pos="4320"/>
                <w:tab w:val="left" w:pos="5040"/>
              </w:tabs>
              <w:jc w:val="center"/>
              <w:rPr>
                <w:sz w:val="22"/>
                <w:szCs w:val="22"/>
              </w:rPr>
            </w:pPr>
            <w:r w:rsidRPr="00103014">
              <w:rPr>
                <w:sz w:val="22"/>
                <w:szCs w:val="22"/>
              </w:rPr>
              <w:t>$60 million annually</w:t>
            </w:r>
            <w:r w:rsidR="00103014" w:rsidRPr="00103014">
              <w:rPr>
                <w:sz w:val="22"/>
                <w:szCs w:val="22"/>
              </w:rPr>
              <w:t xml:space="preserve">; </w:t>
            </w:r>
            <w:r w:rsidR="00103014" w:rsidRPr="00103014">
              <w:rPr>
                <w:sz w:val="22"/>
                <w:szCs w:val="22"/>
              </w:rPr>
              <w:br/>
              <w:t>$300 million total</w:t>
            </w:r>
          </w:p>
        </w:tc>
        <w:tc>
          <w:tcPr>
            <w:tcW w:w="1170" w:type="dxa"/>
            <w:vAlign w:val="center"/>
          </w:tcPr>
          <w:p w:rsidR="00213676" w:rsidRPr="00103014" w:rsidRDefault="00213676" w:rsidP="00E802DE">
            <w:pPr>
              <w:tabs>
                <w:tab w:val="left" w:pos="360"/>
                <w:tab w:val="left" w:pos="720"/>
                <w:tab w:val="left" w:pos="1440"/>
                <w:tab w:val="left" w:pos="2160"/>
                <w:tab w:val="left" w:pos="2880"/>
                <w:tab w:val="left" w:pos="3600"/>
                <w:tab w:val="left" w:pos="4320"/>
                <w:tab w:val="left" w:pos="5040"/>
              </w:tabs>
              <w:jc w:val="center"/>
              <w:rPr>
                <w:sz w:val="22"/>
                <w:szCs w:val="22"/>
              </w:rPr>
            </w:pPr>
            <w:r w:rsidRPr="00103014">
              <w:rPr>
                <w:sz w:val="22"/>
                <w:szCs w:val="22"/>
              </w:rPr>
              <w:t xml:space="preserve">$40 million annually </w:t>
            </w:r>
          </w:p>
        </w:tc>
        <w:tc>
          <w:tcPr>
            <w:tcW w:w="1350" w:type="dxa"/>
            <w:vAlign w:val="center"/>
          </w:tcPr>
          <w:p w:rsidR="00213676" w:rsidRPr="00103014" w:rsidRDefault="00213676" w:rsidP="00E802DE">
            <w:pPr>
              <w:tabs>
                <w:tab w:val="left" w:pos="360"/>
                <w:tab w:val="left" w:pos="720"/>
                <w:tab w:val="left" w:pos="1440"/>
                <w:tab w:val="left" w:pos="2160"/>
                <w:tab w:val="left" w:pos="2880"/>
                <w:tab w:val="left" w:pos="3600"/>
                <w:tab w:val="left" w:pos="4320"/>
                <w:tab w:val="left" w:pos="5040"/>
              </w:tabs>
              <w:jc w:val="center"/>
              <w:rPr>
                <w:sz w:val="22"/>
                <w:szCs w:val="22"/>
              </w:rPr>
            </w:pPr>
            <w:r w:rsidRPr="00103014">
              <w:rPr>
                <w:sz w:val="22"/>
                <w:szCs w:val="22"/>
              </w:rPr>
              <w:t>$200 million annually</w:t>
            </w:r>
          </w:p>
        </w:tc>
        <w:tc>
          <w:tcPr>
            <w:tcW w:w="1530" w:type="dxa"/>
            <w:vAlign w:val="center"/>
          </w:tcPr>
          <w:p w:rsidR="00213676" w:rsidRPr="00103014" w:rsidRDefault="00213676" w:rsidP="00E802DE">
            <w:pPr>
              <w:tabs>
                <w:tab w:val="left" w:pos="360"/>
                <w:tab w:val="left" w:pos="720"/>
                <w:tab w:val="left" w:pos="1440"/>
                <w:tab w:val="left" w:pos="2160"/>
                <w:tab w:val="left" w:pos="2880"/>
                <w:tab w:val="left" w:pos="3600"/>
                <w:tab w:val="left" w:pos="4320"/>
                <w:tab w:val="left" w:pos="5040"/>
              </w:tabs>
              <w:jc w:val="center"/>
              <w:rPr>
                <w:sz w:val="22"/>
                <w:szCs w:val="22"/>
              </w:rPr>
            </w:pPr>
            <w:r w:rsidRPr="00103014">
              <w:rPr>
                <w:sz w:val="22"/>
                <w:szCs w:val="22"/>
              </w:rPr>
              <w:t>$1.1 billion annually (split)</w:t>
            </w:r>
          </w:p>
        </w:tc>
      </w:tr>
      <w:tr w:rsidR="00213676" w:rsidTr="001C3988">
        <w:tc>
          <w:tcPr>
            <w:tcW w:w="1620" w:type="dxa"/>
            <w:vAlign w:val="center"/>
          </w:tcPr>
          <w:p w:rsidR="00213676" w:rsidRPr="00E802DE" w:rsidRDefault="00213676" w:rsidP="00E802DE">
            <w:pPr>
              <w:tabs>
                <w:tab w:val="left" w:pos="360"/>
                <w:tab w:val="left" w:pos="720"/>
                <w:tab w:val="left" w:pos="1440"/>
                <w:tab w:val="left" w:pos="2160"/>
                <w:tab w:val="left" w:pos="2880"/>
                <w:tab w:val="left" w:pos="3600"/>
                <w:tab w:val="left" w:pos="4320"/>
                <w:tab w:val="left" w:pos="5040"/>
              </w:tabs>
              <w:jc w:val="right"/>
              <w:rPr>
                <w:sz w:val="22"/>
                <w:szCs w:val="22"/>
              </w:rPr>
            </w:pPr>
            <w:r w:rsidRPr="00E802DE">
              <w:rPr>
                <w:sz w:val="22"/>
                <w:szCs w:val="22"/>
              </w:rPr>
              <w:t>Refundablilty</w:t>
            </w:r>
          </w:p>
        </w:tc>
        <w:tc>
          <w:tcPr>
            <w:tcW w:w="1440" w:type="dxa"/>
            <w:vAlign w:val="center"/>
          </w:tcPr>
          <w:p w:rsidR="00213676" w:rsidRPr="00E802DE" w:rsidRDefault="00213676" w:rsidP="00E802DE">
            <w:pPr>
              <w:tabs>
                <w:tab w:val="left" w:pos="360"/>
                <w:tab w:val="left" w:pos="720"/>
                <w:tab w:val="left" w:pos="1440"/>
                <w:tab w:val="left" w:pos="2160"/>
                <w:tab w:val="left" w:pos="2880"/>
                <w:tab w:val="left" w:pos="3600"/>
                <w:tab w:val="left" w:pos="4320"/>
                <w:tab w:val="left" w:pos="5040"/>
              </w:tabs>
              <w:jc w:val="center"/>
              <w:rPr>
                <w:sz w:val="22"/>
                <w:szCs w:val="22"/>
              </w:rPr>
            </w:pPr>
            <w:r w:rsidRPr="00E802DE">
              <w:rPr>
                <w:sz w:val="22"/>
                <w:szCs w:val="22"/>
              </w:rPr>
              <w:t>Non-refundable</w:t>
            </w:r>
          </w:p>
        </w:tc>
        <w:tc>
          <w:tcPr>
            <w:tcW w:w="1620" w:type="dxa"/>
            <w:vAlign w:val="center"/>
          </w:tcPr>
          <w:p w:rsidR="00213676" w:rsidRPr="00E802DE" w:rsidRDefault="0043493C" w:rsidP="00E802DE">
            <w:pPr>
              <w:tabs>
                <w:tab w:val="left" w:pos="360"/>
                <w:tab w:val="left" w:pos="720"/>
                <w:tab w:val="left" w:pos="1440"/>
                <w:tab w:val="left" w:pos="2160"/>
                <w:tab w:val="left" w:pos="2880"/>
                <w:tab w:val="left" w:pos="3600"/>
                <w:tab w:val="left" w:pos="4320"/>
                <w:tab w:val="left" w:pos="5040"/>
              </w:tabs>
              <w:jc w:val="center"/>
              <w:rPr>
                <w:sz w:val="22"/>
                <w:szCs w:val="22"/>
              </w:rPr>
            </w:pPr>
            <w:r w:rsidRPr="00E802DE">
              <w:rPr>
                <w:sz w:val="22"/>
                <w:szCs w:val="22"/>
              </w:rPr>
              <w:t>Non-refundable</w:t>
            </w:r>
          </w:p>
        </w:tc>
        <w:tc>
          <w:tcPr>
            <w:tcW w:w="1170" w:type="dxa"/>
            <w:vAlign w:val="center"/>
          </w:tcPr>
          <w:p w:rsidR="00213676" w:rsidRPr="00E802DE" w:rsidRDefault="00103014" w:rsidP="00E802DE">
            <w:pPr>
              <w:tabs>
                <w:tab w:val="left" w:pos="360"/>
                <w:tab w:val="left" w:pos="720"/>
                <w:tab w:val="left" w:pos="1440"/>
                <w:tab w:val="left" w:pos="2160"/>
                <w:tab w:val="left" w:pos="2880"/>
                <w:tab w:val="left" w:pos="3600"/>
                <w:tab w:val="left" w:pos="4320"/>
                <w:tab w:val="left" w:pos="5040"/>
              </w:tabs>
              <w:jc w:val="center"/>
              <w:rPr>
                <w:sz w:val="22"/>
                <w:szCs w:val="22"/>
              </w:rPr>
            </w:pPr>
            <w:r w:rsidRPr="00E802DE">
              <w:rPr>
                <w:sz w:val="22"/>
                <w:szCs w:val="22"/>
              </w:rPr>
              <w:t>Non-refundable</w:t>
            </w:r>
          </w:p>
        </w:tc>
        <w:tc>
          <w:tcPr>
            <w:tcW w:w="1170" w:type="dxa"/>
            <w:vAlign w:val="center"/>
          </w:tcPr>
          <w:p w:rsidR="00213676" w:rsidRPr="00E802DE" w:rsidRDefault="001C3988" w:rsidP="00E802DE">
            <w:pPr>
              <w:tabs>
                <w:tab w:val="left" w:pos="360"/>
                <w:tab w:val="left" w:pos="720"/>
                <w:tab w:val="left" w:pos="1440"/>
                <w:tab w:val="left" w:pos="2160"/>
                <w:tab w:val="left" w:pos="2880"/>
                <w:tab w:val="left" w:pos="3600"/>
                <w:tab w:val="left" w:pos="4320"/>
                <w:tab w:val="left" w:pos="5040"/>
              </w:tabs>
              <w:jc w:val="center"/>
              <w:rPr>
                <w:sz w:val="22"/>
                <w:szCs w:val="22"/>
              </w:rPr>
            </w:pPr>
            <w:r w:rsidRPr="001C3988">
              <w:rPr>
                <w:sz w:val="22"/>
                <w:szCs w:val="22"/>
              </w:rPr>
              <w:t>Non-refundable</w:t>
            </w:r>
          </w:p>
        </w:tc>
        <w:tc>
          <w:tcPr>
            <w:tcW w:w="1350" w:type="dxa"/>
            <w:vAlign w:val="center"/>
          </w:tcPr>
          <w:p w:rsidR="00213676" w:rsidRPr="00E802DE" w:rsidRDefault="00AE71DA" w:rsidP="00E802DE">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N/A</w:t>
            </w:r>
          </w:p>
        </w:tc>
        <w:tc>
          <w:tcPr>
            <w:tcW w:w="1530" w:type="dxa"/>
            <w:vAlign w:val="center"/>
          </w:tcPr>
          <w:p w:rsidR="00213676" w:rsidRPr="00E802DE" w:rsidRDefault="00EF6172" w:rsidP="00E802DE">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Non-refundable</w:t>
            </w:r>
          </w:p>
        </w:tc>
      </w:tr>
      <w:tr w:rsidR="00213676" w:rsidTr="001C3988">
        <w:trPr>
          <w:trHeight w:val="530"/>
        </w:trPr>
        <w:tc>
          <w:tcPr>
            <w:tcW w:w="1620" w:type="dxa"/>
            <w:vAlign w:val="center"/>
          </w:tcPr>
          <w:p w:rsidR="00213676" w:rsidRPr="00E802DE" w:rsidRDefault="00213676" w:rsidP="00E802DE">
            <w:pPr>
              <w:tabs>
                <w:tab w:val="left" w:pos="360"/>
                <w:tab w:val="left" w:pos="720"/>
                <w:tab w:val="left" w:pos="1440"/>
                <w:tab w:val="left" w:pos="2160"/>
                <w:tab w:val="left" w:pos="2880"/>
                <w:tab w:val="left" w:pos="3600"/>
                <w:tab w:val="left" w:pos="4320"/>
                <w:tab w:val="left" w:pos="5040"/>
              </w:tabs>
              <w:jc w:val="right"/>
              <w:rPr>
                <w:sz w:val="22"/>
                <w:szCs w:val="22"/>
              </w:rPr>
            </w:pPr>
            <w:r w:rsidRPr="00E802DE">
              <w:rPr>
                <w:sz w:val="22"/>
                <w:szCs w:val="22"/>
              </w:rPr>
              <w:t>Carry Forward</w:t>
            </w:r>
          </w:p>
        </w:tc>
        <w:tc>
          <w:tcPr>
            <w:tcW w:w="1440" w:type="dxa"/>
            <w:vAlign w:val="center"/>
          </w:tcPr>
          <w:p w:rsidR="00213676" w:rsidRPr="00E802DE" w:rsidRDefault="00213676" w:rsidP="00E802DE">
            <w:pPr>
              <w:tabs>
                <w:tab w:val="left" w:pos="360"/>
                <w:tab w:val="left" w:pos="720"/>
                <w:tab w:val="left" w:pos="1440"/>
                <w:tab w:val="left" w:pos="2160"/>
                <w:tab w:val="left" w:pos="2880"/>
                <w:tab w:val="left" w:pos="3600"/>
                <w:tab w:val="left" w:pos="4320"/>
                <w:tab w:val="left" w:pos="5040"/>
              </w:tabs>
              <w:jc w:val="center"/>
              <w:rPr>
                <w:sz w:val="22"/>
                <w:szCs w:val="22"/>
              </w:rPr>
            </w:pPr>
            <w:r w:rsidRPr="00E802DE">
              <w:rPr>
                <w:sz w:val="22"/>
                <w:szCs w:val="22"/>
              </w:rPr>
              <w:t>9 years</w:t>
            </w:r>
          </w:p>
        </w:tc>
        <w:tc>
          <w:tcPr>
            <w:tcW w:w="1620" w:type="dxa"/>
            <w:vAlign w:val="center"/>
          </w:tcPr>
          <w:p w:rsidR="00213676" w:rsidRPr="00E802DE" w:rsidRDefault="0043493C" w:rsidP="00E802DE">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No</w:t>
            </w:r>
            <w:r w:rsidR="00EF6172">
              <w:rPr>
                <w:sz w:val="22"/>
                <w:szCs w:val="22"/>
              </w:rPr>
              <w:t>ne</w:t>
            </w:r>
          </w:p>
        </w:tc>
        <w:tc>
          <w:tcPr>
            <w:tcW w:w="1170" w:type="dxa"/>
            <w:vAlign w:val="center"/>
          </w:tcPr>
          <w:p w:rsidR="00213676" w:rsidRPr="00E802DE" w:rsidRDefault="00103014" w:rsidP="00E802DE">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7 years</w:t>
            </w:r>
          </w:p>
        </w:tc>
        <w:tc>
          <w:tcPr>
            <w:tcW w:w="1170" w:type="dxa"/>
            <w:vAlign w:val="center"/>
          </w:tcPr>
          <w:p w:rsidR="00213676" w:rsidRPr="00E802DE" w:rsidRDefault="001C3988" w:rsidP="00E802DE">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10 years</w:t>
            </w:r>
          </w:p>
        </w:tc>
        <w:tc>
          <w:tcPr>
            <w:tcW w:w="1350" w:type="dxa"/>
            <w:vAlign w:val="center"/>
          </w:tcPr>
          <w:p w:rsidR="00213676" w:rsidRPr="00E802DE" w:rsidRDefault="00EF6172" w:rsidP="00E802DE">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None</w:t>
            </w:r>
          </w:p>
        </w:tc>
        <w:tc>
          <w:tcPr>
            <w:tcW w:w="1530" w:type="dxa"/>
            <w:vAlign w:val="center"/>
          </w:tcPr>
          <w:p w:rsidR="00213676" w:rsidRPr="00E802DE" w:rsidRDefault="009A079D" w:rsidP="00E802DE">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Varies</w:t>
            </w:r>
          </w:p>
        </w:tc>
      </w:tr>
      <w:tr w:rsidR="00213676" w:rsidTr="001C3988">
        <w:tc>
          <w:tcPr>
            <w:tcW w:w="1620" w:type="dxa"/>
            <w:vAlign w:val="center"/>
          </w:tcPr>
          <w:p w:rsidR="00213676" w:rsidRPr="00E802DE" w:rsidRDefault="00213676" w:rsidP="00E802DE">
            <w:pPr>
              <w:tabs>
                <w:tab w:val="left" w:pos="360"/>
                <w:tab w:val="left" w:pos="720"/>
                <w:tab w:val="left" w:pos="1440"/>
                <w:tab w:val="left" w:pos="2160"/>
                <w:tab w:val="left" w:pos="2880"/>
                <w:tab w:val="left" w:pos="3600"/>
                <w:tab w:val="left" w:pos="4320"/>
                <w:tab w:val="left" w:pos="5040"/>
              </w:tabs>
              <w:jc w:val="right"/>
              <w:rPr>
                <w:sz w:val="22"/>
                <w:szCs w:val="22"/>
              </w:rPr>
            </w:pPr>
            <w:r w:rsidRPr="00E802DE">
              <w:rPr>
                <w:sz w:val="22"/>
                <w:szCs w:val="22"/>
              </w:rPr>
              <w:t>Transfer</w:t>
            </w:r>
            <w:r>
              <w:rPr>
                <w:sz w:val="22"/>
                <w:szCs w:val="22"/>
              </w:rPr>
              <w:t xml:space="preserve"> Certificate</w:t>
            </w:r>
          </w:p>
        </w:tc>
        <w:tc>
          <w:tcPr>
            <w:tcW w:w="1440" w:type="dxa"/>
            <w:vAlign w:val="center"/>
          </w:tcPr>
          <w:p w:rsidR="00213676" w:rsidRPr="00E802DE" w:rsidRDefault="00213676" w:rsidP="00E802DE">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c>
          <w:tcPr>
            <w:tcW w:w="1620" w:type="dxa"/>
            <w:vAlign w:val="center"/>
          </w:tcPr>
          <w:p w:rsidR="00213676" w:rsidRPr="00E802DE" w:rsidRDefault="00103014" w:rsidP="00E802DE">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c>
          <w:tcPr>
            <w:tcW w:w="1170" w:type="dxa"/>
            <w:vAlign w:val="center"/>
          </w:tcPr>
          <w:p w:rsidR="00213676" w:rsidRPr="00E802DE" w:rsidRDefault="00103014" w:rsidP="00E802DE">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c>
          <w:tcPr>
            <w:tcW w:w="1170" w:type="dxa"/>
            <w:vAlign w:val="center"/>
          </w:tcPr>
          <w:p w:rsidR="00213676" w:rsidRPr="00E802DE" w:rsidRDefault="001C3988" w:rsidP="00E802DE">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No</w:t>
            </w:r>
          </w:p>
        </w:tc>
        <w:tc>
          <w:tcPr>
            <w:tcW w:w="1350" w:type="dxa"/>
            <w:vAlign w:val="center"/>
          </w:tcPr>
          <w:p w:rsidR="00213676" w:rsidRPr="00E802DE" w:rsidRDefault="001C3988" w:rsidP="00E802DE">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c>
          <w:tcPr>
            <w:tcW w:w="1530" w:type="dxa"/>
            <w:vAlign w:val="center"/>
          </w:tcPr>
          <w:p w:rsidR="00213676" w:rsidRPr="00E802DE" w:rsidRDefault="00132306" w:rsidP="00E802DE">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r>
      <w:tr w:rsidR="006D6DA5" w:rsidTr="001C3988">
        <w:tc>
          <w:tcPr>
            <w:tcW w:w="1620" w:type="dxa"/>
            <w:vAlign w:val="center"/>
          </w:tcPr>
          <w:p w:rsidR="006D6DA5" w:rsidRPr="00E802DE" w:rsidRDefault="006D6DA5" w:rsidP="00E802DE">
            <w:pPr>
              <w:tabs>
                <w:tab w:val="left" w:pos="360"/>
                <w:tab w:val="left" w:pos="720"/>
                <w:tab w:val="left" w:pos="1440"/>
                <w:tab w:val="left" w:pos="2160"/>
                <w:tab w:val="left" w:pos="2880"/>
                <w:tab w:val="left" w:pos="3600"/>
                <w:tab w:val="left" w:pos="4320"/>
                <w:tab w:val="left" w:pos="5040"/>
              </w:tabs>
              <w:jc w:val="right"/>
              <w:rPr>
                <w:sz w:val="22"/>
                <w:szCs w:val="22"/>
              </w:rPr>
            </w:pPr>
            <w:r>
              <w:rPr>
                <w:sz w:val="22"/>
                <w:szCs w:val="22"/>
              </w:rPr>
              <w:t>Net Benefit Test</w:t>
            </w:r>
          </w:p>
        </w:tc>
        <w:tc>
          <w:tcPr>
            <w:tcW w:w="1440" w:type="dxa"/>
            <w:vAlign w:val="center"/>
          </w:tcPr>
          <w:p w:rsidR="006D6DA5" w:rsidRPr="00E802DE" w:rsidRDefault="0043493C" w:rsidP="00E802DE">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No</w:t>
            </w:r>
          </w:p>
        </w:tc>
        <w:tc>
          <w:tcPr>
            <w:tcW w:w="1620" w:type="dxa"/>
            <w:vAlign w:val="center"/>
          </w:tcPr>
          <w:p w:rsidR="006D6DA5" w:rsidRPr="00E802DE" w:rsidRDefault="00103014" w:rsidP="00E802DE">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No</w:t>
            </w:r>
          </w:p>
        </w:tc>
        <w:tc>
          <w:tcPr>
            <w:tcW w:w="1170" w:type="dxa"/>
            <w:vAlign w:val="center"/>
          </w:tcPr>
          <w:p w:rsidR="006D6DA5" w:rsidRPr="00E802DE" w:rsidRDefault="00103014" w:rsidP="00E802DE">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N/A</w:t>
            </w:r>
          </w:p>
        </w:tc>
        <w:tc>
          <w:tcPr>
            <w:tcW w:w="1170" w:type="dxa"/>
            <w:vAlign w:val="center"/>
          </w:tcPr>
          <w:p w:rsidR="006D6DA5" w:rsidRPr="00E802DE" w:rsidRDefault="00EF6172" w:rsidP="00E802DE">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No</w:t>
            </w:r>
          </w:p>
        </w:tc>
        <w:tc>
          <w:tcPr>
            <w:tcW w:w="1350" w:type="dxa"/>
            <w:vAlign w:val="center"/>
          </w:tcPr>
          <w:p w:rsidR="006D6DA5" w:rsidRPr="00E802DE" w:rsidRDefault="00132306" w:rsidP="00E802DE">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c>
          <w:tcPr>
            <w:tcW w:w="1530" w:type="dxa"/>
            <w:vAlign w:val="center"/>
          </w:tcPr>
          <w:p w:rsidR="006D6DA5" w:rsidRPr="00E802DE" w:rsidRDefault="00132306" w:rsidP="00E802DE">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r>
      <w:tr w:rsidR="00213676" w:rsidTr="001C3988">
        <w:tc>
          <w:tcPr>
            <w:tcW w:w="1620" w:type="dxa"/>
            <w:vAlign w:val="center"/>
          </w:tcPr>
          <w:p w:rsidR="00213676" w:rsidRPr="00E802DE" w:rsidRDefault="00213676" w:rsidP="00E802DE">
            <w:pPr>
              <w:tabs>
                <w:tab w:val="left" w:pos="360"/>
                <w:tab w:val="left" w:pos="720"/>
                <w:tab w:val="left" w:pos="1440"/>
                <w:tab w:val="left" w:pos="2160"/>
                <w:tab w:val="left" w:pos="2880"/>
                <w:tab w:val="left" w:pos="3600"/>
                <w:tab w:val="left" w:pos="4320"/>
                <w:tab w:val="left" w:pos="5040"/>
              </w:tabs>
              <w:jc w:val="right"/>
              <w:rPr>
                <w:sz w:val="22"/>
                <w:szCs w:val="22"/>
              </w:rPr>
            </w:pPr>
            <w:r w:rsidRPr="00E802DE">
              <w:rPr>
                <w:sz w:val="22"/>
                <w:szCs w:val="22"/>
              </w:rPr>
              <w:t>Recapture of Credits</w:t>
            </w:r>
          </w:p>
        </w:tc>
        <w:tc>
          <w:tcPr>
            <w:tcW w:w="1440" w:type="dxa"/>
            <w:vAlign w:val="center"/>
          </w:tcPr>
          <w:p w:rsidR="00213676" w:rsidRPr="00E802DE" w:rsidRDefault="00213676" w:rsidP="00E802DE">
            <w:pPr>
              <w:tabs>
                <w:tab w:val="left" w:pos="360"/>
                <w:tab w:val="left" w:pos="720"/>
                <w:tab w:val="left" w:pos="1440"/>
                <w:tab w:val="left" w:pos="2160"/>
                <w:tab w:val="left" w:pos="2880"/>
                <w:tab w:val="left" w:pos="3600"/>
                <w:tab w:val="left" w:pos="4320"/>
                <w:tab w:val="left" w:pos="5040"/>
              </w:tabs>
              <w:jc w:val="center"/>
              <w:rPr>
                <w:sz w:val="22"/>
                <w:szCs w:val="22"/>
              </w:rPr>
            </w:pPr>
            <w:r w:rsidRPr="00E802DE">
              <w:rPr>
                <w:sz w:val="22"/>
                <w:szCs w:val="22"/>
              </w:rPr>
              <w:t>Yes</w:t>
            </w:r>
          </w:p>
        </w:tc>
        <w:tc>
          <w:tcPr>
            <w:tcW w:w="1620" w:type="dxa"/>
            <w:vAlign w:val="center"/>
          </w:tcPr>
          <w:p w:rsidR="00213676" w:rsidRPr="00E802DE" w:rsidRDefault="0043493C" w:rsidP="00E802DE">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c>
          <w:tcPr>
            <w:tcW w:w="1170" w:type="dxa"/>
            <w:vAlign w:val="center"/>
          </w:tcPr>
          <w:p w:rsidR="00213676" w:rsidRPr="00E802DE" w:rsidRDefault="001C3988" w:rsidP="00E802DE">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N/A</w:t>
            </w:r>
          </w:p>
        </w:tc>
        <w:tc>
          <w:tcPr>
            <w:tcW w:w="1170" w:type="dxa"/>
            <w:vAlign w:val="center"/>
          </w:tcPr>
          <w:p w:rsidR="00213676" w:rsidRPr="00E802DE" w:rsidRDefault="00EF6172" w:rsidP="00E802DE">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c>
          <w:tcPr>
            <w:tcW w:w="1350" w:type="dxa"/>
            <w:vAlign w:val="center"/>
          </w:tcPr>
          <w:p w:rsidR="00213676" w:rsidRPr="00E802DE" w:rsidRDefault="00EF6172" w:rsidP="00E802DE">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c>
          <w:tcPr>
            <w:tcW w:w="1530" w:type="dxa"/>
            <w:vAlign w:val="center"/>
          </w:tcPr>
          <w:p w:rsidR="00213676" w:rsidRPr="00E802DE" w:rsidRDefault="00132306" w:rsidP="00E802DE">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r>
      <w:tr w:rsidR="00213676" w:rsidTr="001C3988">
        <w:tc>
          <w:tcPr>
            <w:tcW w:w="1620" w:type="dxa"/>
            <w:vAlign w:val="center"/>
          </w:tcPr>
          <w:p w:rsidR="00213676" w:rsidRPr="00E802DE" w:rsidRDefault="00213676" w:rsidP="00E802DE">
            <w:pPr>
              <w:tabs>
                <w:tab w:val="left" w:pos="360"/>
                <w:tab w:val="left" w:pos="720"/>
                <w:tab w:val="left" w:pos="1440"/>
                <w:tab w:val="left" w:pos="2160"/>
                <w:tab w:val="left" w:pos="2880"/>
                <w:tab w:val="left" w:pos="3600"/>
                <w:tab w:val="left" w:pos="4320"/>
                <w:tab w:val="left" w:pos="5040"/>
              </w:tabs>
              <w:jc w:val="right"/>
              <w:rPr>
                <w:sz w:val="22"/>
                <w:szCs w:val="22"/>
              </w:rPr>
            </w:pPr>
            <w:r w:rsidRPr="00E802DE">
              <w:rPr>
                <w:sz w:val="22"/>
                <w:szCs w:val="22"/>
              </w:rPr>
              <w:t>Reporting Requirements</w:t>
            </w:r>
          </w:p>
        </w:tc>
        <w:tc>
          <w:tcPr>
            <w:tcW w:w="1440" w:type="dxa"/>
            <w:vAlign w:val="center"/>
          </w:tcPr>
          <w:p w:rsidR="00213676" w:rsidRPr="00E802DE" w:rsidRDefault="00213676" w:rsidP="00E802DE">
            <w:pPr>
              <w:tabs>
                <w:tab w:val="left" w:pos="360"/>
                <w:tab w:val="left" w:pos="720"/>
                <w:tab w:val="left" w:pos="1440"/>
                <w:tab w:val="left" w:pos="2160"/>
                <w:tab w:val="left" w:pos="2880"/>
                <w:tab w:val="left" w:pos="3600"/>
                <w:tab w:val="left" w:pos="4320"/>
                <w:tab w:val="left" w:pos="5040"/>
              </w:tabs>
              <w:jc w:val="center"/>
              <w:rPr>
                <w:sz w:val="22"/>
                <w:szCs w:val="22"/>
              </w:rPr>
            </w:pPr>
            <w:r w:rsidRPr="00E802DE">
              <w:rPr>
                <w:sz w:val="22"/>
                <w:szCs w:val="22"/>
              </w:rPr>
              <w:t>Yes</w:t>
            </w:r>
          </w:p>
        </w:tc>
        <w:tc>
          <w:tcPr>
            <w:tcW w:w="1620" w:type="dxa"/>
            <w:vAlign w:val="center"/>
          </w:tcPr>
          <w:p w:rsidR="00213676" w:rsidRPr="00E802DE" w:rsidRDefault="00103014" w:rsidP="00E802DE">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c>
          <w:tcPr>
            <w:tcW w:w="1170" w:type="dxa"/>
            <w:vAlign w:val="center"/>
          </w:tcPr>
          <w:p w:rsidR="00213676" w:rsidRPr="00E802DE" w:rsidRDefault="001C3988" w:rsidP="00E802DE">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c>
          <w:tcPr>
            <w:tcW w:w="1170" w:type="dxa"/>
            <w:vAlign w:val="center"/>
          </w:tcPr>
          <w:p w:rsidR="00213676" w:rsidRPr="00E802DE" w:rsidRDefault="00EF6172" w:rsidP="00E802DE">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c>
          <w:tcPr>
            <w:tcW w:w="1350" w:type="dxa"/>
            <w:vAlign w:val="center"/>
          </w:tcPr>
          <w:p w:rsidR="00213676" w:rsidRPr="00E802DE" w:rsidRDefault="00EF6172" w:rsidP="00E802DE">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c>
          <w:tcPr>
            <w:tcW w:w="1530" w:type="dxa"/>
            <w:vAlign w:val="center"/>
          </w:tcPr>
          <w:p w:rsidR="00213676" w:rsidRPr="00E802DE" w:rsidRDefault="00132306" w:rsidP="00E802DE">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Yes</w:t>
            </w:r>
          </w:p>
        </w:tc>
      </w:tr>
    </w:tbl>
    <w:p w:rsidR="00636A9B" w:rsidRDefault="00636A9B" w:rsidP="002D7863">
      <w:pPr>
        <w:tabs>
          <w:tab w:val="left" w:pos="360"/>
          <w:tab w:val="left" w:pos="720"/>
          <w:tab w:val="left" w:pos="1440"/>
          <w:tab w:val="left" w:pos="2160"/>
          <w:tab w:val="left" w:pos="2880"/>
          <w:tab w:val="left" w:pos="3600"/>
          <w:tab w:val="left" w:pos="4320"/>
          <w:tab w:val="left" w:pos="5040"/>
        </w:tabs>
      </w:pPr>
    </w:p>
    <w:p w:rsidR="00006994" w:rsidRDefault="00636A9B" w:rsidP="002D7863">
      <w:pPr>
        <w:tabs>
          <w:tab w:val="left" w:pos="360"/>
          <w:tab w:val="left" w:pos="720"/>
          <w:tab w:val="left" w:pos="1440"/>
          <w:tab w:val="left" w:pos="2160"/>
          <w:tab w:val="left" w:pos="2880"/>
          <w:tab w:val="left" w:pos="3600"/>
          <w:tab w:val="left" w:pos="4320"/>
          <w:tab w:val="left" w:pos="5040"/>
        </w:tabs>
        <w:rPr>
          <w:spacing w:val="4"/>
        </w:rPr>
      </w:pPr>
      <w:r>
        <w:tab/>
      </w:r>
      <w:r w:rsidR="00006994">
        <w:rPr>
          <w:spacing w:val="4"/>
        </w:rPr>
        <w:t>The bill authorizes the Director of the Division of Taxation to purchase unused tax credits from these programs as well as certain Grow New Jersey Assistance Program and State Economic Redevelopment and Growth Grant program incentives.</w:t>
      </w:r>
      <w:r w:rsidR="00006994">
        <w:rPr>
          <w:spacing w:val="4"/>
        </w:rPr>
        <w:tab/>
      </w:r>
    </w:p>
    <w:p w:rsidR="00006994" w:rsidRDefault="00006994" w:rsidP="002D7863">
      <w:pPr>
        <w:tabs>
          <w:tab w:val="left" w:pos="360"/>
          <w:tab w:val="left" w:pos="720"/>
          <w:tab w:val="left" w:pos="1440"/>
          <w:tab w:val="left" w:pos="2160"/>
          <w:tab w:val="left" w:pos="2880"/>
          <w:tab w:val="left" w:pos="3600"/>
          <w:tab w:val="left" w:pos="4320"/>
          <w:tab w:val="left" w:pos="5040"/>
        </w:tabs>
        <w:rPr>
          <w:spacing w:val="4"/>
        </w:rPr>
      </w:pPr>
      <w:r>
        <w:rPr>
          <w:spacing w:val="4"/>
        </w:rPr>
        <w:lastRenderedPageBreak/>
        <w:tab/>
        <w:t xml:space="preserve">The bill establishes the Main Street Recovery Finance program providing grants, loans, and loan guarantees to small businesses. </w:t>
      </w:r>
      <w:r w:rsidR="009A630B">
        <w:rPr>
          <w:spacing w:val="4"/>
        </w:rPr>
        <w:t xml:space="preserve"> </w:t>
      </w:r>
      <w:r>
        <w:rPr>
          <w:spacing w:val="4"/>
        </w:rPr>
        <w:t>The bill appropriates $50 million for this program</w:t>
      </w:r>
      <w:r w:rsidR="0019228B">
        <w:rPr>
          <w:spacing w:val="4"/>
        </w:rPr>
        <w:t>.</w:t>
      </w:r>
    </w:p>
    <w:p w:rsidR="0019228B" w:rsidRDefault="0019228B" w:rsidP="002D7863">
      <w:pPr>
        <w:tabs>
          <w:tab w:val="left" w:pos="360"/>
          <w:tab w:val="left" w:pos="720"/>
          <w:tab w:val="left" w:pos="1440"/>
          <w:tab w:val="left" w:pos="2160"/>
          <w:tab w:val="left" w:pos="2880"/>
          <w:tab w:val="left" w:pos="3600"/>
          <w:tab w:val="left" w:pos="4320"/>
          <w:tab w:val="left" w:pos="5040"/>
        </w:tabs>
      </w:pPr>
      <w:r>
        <w:tab/>
        <w:t xml:space="preserve">The bill establishes the </w:t>
      </w:r>
      <w:r w:rsidRPr="0019228B">
        <w:t>New Jersey Ignite program, a public-private partnership providing start-up rent grants to collaborative workspaces to support the early months of an early-stage innovation economy business’s rent at the collaborative workspace.</w:t>
      </w:r>
      <w:r w:rsidR="00F2664A" w:rsidRPr="00F2664A">
        <w:rPr>
          <w:spacing w:val="4"/>
        </w:rPr>
        <w:t xml:space="preserve"> </w:t>
      </w:r>
      <w:r w:rsidR="009A630B">
        <w:rPr>
          <w:spacing w:val="4"/>
        </w:rPr>
        <w:t xml:space="preserve"> </w:t>
      </w:r>
      <w:r w:rsidR="00F2664A">
        <w:rPr>
          <w:spacing w:val="4"/>
        </w:rPr>
        <w:t>The bill appropriates $250,000 for this program.</w:t>
      </w:r>
    </w:p>
    <w:p w:rsidR="0019228B" w:rsidRDefault="0019228B" w:rsidP="002D7863">
      <w:pPr>
        <w:tabs>
          <w:tab w:val="left" w:pos="360"/>
          <w:tab w:val="left" w:pos="720"/>
          <w:tab w:val="left" w:pos="1440"/>
          <w:tab w:val="left" w:pos="2160"/>
          <w:tab w:val="left" w:pos="2880"/>
          <w:tab w:val="left" w:pos="3600"/>
          <w:tab w:val="left" w:pos="4320"/>
          <w:tab w:val="left" w:pos="5040"/>
        </w:tabs>
      </w:pPr>
      <w:r>
        <w:tab/>
        <w:t>The bill provides</w:t>
      </w:r>
      <w:r w:rsidRPr="0019228B">
        <w:t xml:space="preserve"> tax credits for </w:t>
      </w:r>
      <w:r w:rsidR="00636A9B">
        <w:t>hiring employees for</w:t>
      </w:r>
      <w:r w:rsidRPr="0019228B">
        <w:t xml:space="preserve"> the manufacture of</w:t>
      </w:r>
      <w:r w:rsidR="0063050E">
        <w:t xml:space="preserve"> personal protective equipment </w:t>
      </w:r>
      <w:r w:rsidRPr="0019228B">
        <w:t>capped at $10 million annually for three years.</w:t>
      </w:r>
    </w:p>
    <w:p w:rsidR="0019228B" w:rsidRDefault="0019228B" w:rsidP="002D7863">
      <w:pPr>
        <w:tabs>
          <w:tab w:val="left" w:pos="360"/>
          <w:tab w:val="left" w:pos="720"/>
          <w:tab w:val="left" w:pos="1440"/>
          <w:tab w:val="left" w:pos="2160"/>
          <w:tab w:val="left" w:pos="2880"/>
          <w:tab w:val="left" w:pos="3600"/>
          <w:tab w:val="left" w:pos="4320"/>
          <w:tab w:val="left" w:pos="5040"/>
        </w:tabs>
      </w:pPr>
      <w:r>
        <w:tab/>
        <w:t xml:space="preserve">The bill </w:t>
      </w:r>
      <w:r w:rsidRPr="0019228B">
        <w:t xml:space="preserve">increase the film tax credit caps by </w:t>
      </w:r>
      <w:r w:rsidR="00D05F32">
        <w:t>$</w:t>
      </w:r>
      <w:r w:rsidR="00EC2E0D">
        <w:t>2</w:t>
      </w:r>
      <w:r w:rsidR="00D05F32">
        <w:t>.6 billion</w:t>
      </w:r>
      <w:r w:rsidRPr="0019228B">
        <w:t xml:space="preserve"> </w:t>
      </w:r>
      <w:r w:rsidR="00D05F32">
        <w:t>o</w:t>
      </w:r>
      <w:r w:rsidR="00EC2E0D">
        <w:t>ver 13</w:t>
      </w:r>
      <w:r w:rsidR="00D05F32">
        <w:t xml:space="preserve"> fiscal years</w:t>
      </w:r>
      <w:r w:rsidRPr="0019228B">
        <w:t>.</w:t>
      </w:r>
    </w:p>
    <w:p w:rsidR="004F67D5" w:rsidRDefault="004F67D5" w:rsidP="002D7863">
      <w:pPr>
        <w:tabs>
          <w:tab w:val="left" w:pos="360"/>
          <w:tab w:val="left" w:pos="720"/>
          <w:tab w:val="left" w:pos="1440"/>
          <w:tab w:val="left" w:pos="2160"/>
          <w:tab w:val="left" w:pos="2880"/>
          <w:tab w:val="left" w:pos="3600"/>
          <w:tab w:val="left" w:pos="4320"/>
          <w:tab w:val="left" w:pos="5040"/>
        </w:tabs>
      </w:pPr>
      <w:r>
        <w:tab/>
        <w:t xml:space="preserve">The bill </w:t>
      </w:r>
      <w:r w:rsidRPr="004F67D5">
        <w:t>extend</w:t>
      </w:r>
      <w:r w:rsidR="001E43E6">
        <w:t>s</w:t>
      </w:r>
      <w:r w:rsidRPr="004F67D5">
        <w:t xml:space="preserve"> </w:t>
      </w:r>
      <w:r w:rsidR="001E43E6" w:rsidRPr="004F67D5">
        <w:t xml:space="preserve">Economic Redevelopment and Growth Grant Program </w:t>
      </w:r>
      <w:r w:rsidRPr="004F67D5">
        <w:t>deadlines and allow</w:t>
      </w:r>
      <w:r w:rsidR="001E43E6">
        <w:t>s</w:t>
      </w:r>
      <w:r w:rsidRPr="004F67D5">
        <w:t xml:space="preserve"> an additional $220 million of tax credits to be awarded</w:t>
      </w:r>
      <w:r w:rsidR="001E43E6">
        <w:t xml:space="preserve"> under that program</w:t>
      </w:r>
      <w:r w:rsidRPr="004F67D5">
        <w:t>.</w:t>
      </w:r>
    </w:p>
    <w:p w:rsidR="0019228B" w:rsidRDefault="0019228B" w:rsidP="002D7863">
      <w:pPr>
        <w:tabs>
          <w:tab w:val="left" w:pos="360"/>
          <w:tab w:val="left" w:pos="720"/>
          <w:tab w:val="left" w:pos="1440"/>
          <w:tab w:val="left" w:pos="2160"/>
          <w:tab w:val="left" w:pos="2880"/>
          <w:tab w:val="left" w:pos="3600"/>
          <w:tab w:val="left" w:pos="4320"/>
          <w:tab w:val="left" w:pos="5040"/>
        </w:tabs>
      </w:pPr>
      <w:r>
        <w:tab/>
        <w:t xml:space="preserve">The </w:t>
      </w:r>
      <w:r w:rsidR="0063050E">
        <w:t xml:space="preserve">bill </w:t>
      </w:r>
      <w:r w:rsidR="001E43E6">
        <w:t>adjust</w:t>
      </w:r>
      <w:r w:rsidRPr="0019228B">
        <w:t>s the New Jersey Emerging Technology and Biotechnology Financial Assistance Program, including to increase the annual amount of tax benefits that the EDA may approve for transfer between corporations.</w:t>
      </w:r>
      <w:r>
        <w:t xml:space="preserve">  The bill also </w:t>
      </w:r>
      <w:r w:rsidR="001E43E6">
        <w:t>revises</w:t>
      </w:r>
      <w:r w:rsidRPr="0019228B">
        <w:t xml:space="preserve"> the New Jersey Angel Investor Tax Credit Act, including to increase the annual tax credit cap from $25 million to $35 million and to add provisions for venture funds.</w:t>
      </w:r>
      <w:r>
        <w:tab/>
      </w:r>
    </w:p>
    <w:p w:rsidR="00006994" w:rsidRDefault="00006994" w:rsidP="002D7863">
      <w:pPr>
        <w:tabs>
          <w:tab w:val="left" w:pos="360"/>
          <w:tab w:val="left" w:pos="720"/>
          <w:tab w:val="left" w:pos="1440"/>
          <w:tab w:val="left" w:pos="2160"/>
          <w:tab w:val="left" w:pos="2880"/>
          <w:tab w:val="left" w:pos="3600"/>
          <w:tab w:val="left" w:pos="4320"/>
          <w:tab w:val="left" w:pos="5040"/>
        </w:tabs>
      </w:pPr>
      <w:r>
        <w:tab/>
        <w:t xml:space="preserve">The bill </w:t>
      </w:r>
      <w:r>
        <w:rPr>
          <w:spacing w:val="4"/>
        </w:rPr>
        <w:t>es</w:t>
      </w:r>
      <w:r w:rsidRPr="00911004">
        <w:rPr>
          <w:spacing w:val="4"/>
        </w:rPr>
        <w:t>tablishe</w:t>
      </w:r>
      <w:r>
        <w:rPr>
          <w:spacing w:val="4"/>
        </w:rPr>
        <w:t>s</w:t>
      </w:r>
      <w:r w:rsidRPr="00911004">
        <w:rPr>
          <w:spacing w:val="4"/>
        </w:rPr>
        <w:t xml:space="preserve"> a </w:t>
      </w:r>
      <w:r>
        <w:rPr>
          <w:spacing w:val="4"/>
        </w:rPr>
        <w:t>working group</w:t>
      </w:r>
      <w:r w:rsidRPr="00911004">
        <w:rPr>
          <w:spacing w:val="4"/>
        </w:rPr>
        <w:t xml:space="preserve"> for the purpose of making recommendations for the establishment of entrepreneur zones throughout the State</w:t>
      </w:r>
      <w:r>
        <w:rPr>
          <w:spacing w:val="4"/>
        </w:rPr>
        <w:t>.</w:t>
      </w:r>
    </w:p>
    <w:p w:rsidR="0048104C" w:rsidRDefault="00006994" w:rsidP="002D7863">
      <w:pPr>
        <w:tabs>
          <w:tab w:val="left" w:pos="360"/>
          <w:tab w:val="left" w:pos="720"/>
          <w:tab w:val="left" w:pos="1440"/>
          <w:tab w:val="left" w:pos="2160"/>
          <w:tab w:val="left" w:pos="2880"/>
          <w:tab w:val="left" w:pos="3600"/>
          <w:tab w:val="left" w:pos="4320"/>
          <w:tab w:val="left" w:pos="5040"/>
        </w:tabs>
      </w:pPr>
      <w:r>
        <w:tab/>
        <w:t xml:space="preserve">The bill </w:t>
      </w:r>
      <w:r w:rsidRPr="00006994">
        <w:t>create</w:t>
      </w:r>
      <w:r>
        <w:t>s</w:t>
      </w:r>
      <w:r w:rsidRPr="00006994">
        <w:t xml:space="preserve"> an Office of Economic Development Inspector General, require</w:t>
      </w:r>
      <w:r w:rsidR="001E43E6">
        <w:t>s</w:t>
      </w:r>
      <w:r w:rsidRPr="00006994">
        <w:t xml:space="preserve"> employment of a Chief Compliance Officer to manage the Division of Portfolio Man</w:t>
      </w:r>
      <w:r w:rsidR="001E43E6">
        <w:t>agement and Compliance, and</w:t>
      </w:r>
      <w:r w:rsidRPr="00006994">
        <w:t xml:space="preserve"> appropriates $250</w:t>
      </w:r>
      <w:r>
        <w:t xml:space="preserve">,000 </w:t>
      </w:r>
      <w:r w:rsidR="001E43E6">
        <w:t>for these purposes.</w:t>
      </w:r>
    </w:p>
    <w:p w:rsidR="00740C56" w:rsidRDefault="00740C56" w:rsidP="002D7863">
      <w:pPr>
        <w:tabs>
          <w:tab w:val="left" w:pos="360"/>
          <w:tab w:val="left" w:pos="720"/>
          <w:tab w:val="left" w:pos="1440"/>
          <w:tab w:val="left" w:pos="2160"/>
          <w:tab w:val="left" w:pos="2880"/>
          <w:tab w:val="left" w:pos="3600"/>
          <w:tab w:val="left" w:pos="4320"/>
          <w:tab w:val="left" w:pos="5040"/>
        </w:tabs>
      </w:pPr>
      <w:r>
        <w:tab/>
        <w:t>The bill appropriates $5 million to the EDA to fund zoning and planning grants in government-restricted municipalities and economic development plans for distressed assets in other municipalities.</w:t>
      </w:r>
    </w:p>
    <w:p w:rsidR="00F96770" w:rsidRDefault="004F67D5" w:rsidP="001E43E6">
      <w:pPr>
        <w:tabs>
          <w:tab w:val="left" w:pos="288"/>
          <w:tab w:val="left" w:pos="81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xml:space="preserve">The bill makes various changes to existing incentive programs, including, but not limited to, eligibility requirements, deadline extensions, and the disbursement of credit awards.  </w:t>
      </w:r>
    </w:p>
    <w:p w:rsidR="001E43E6" w:rsidRPr="00355D69" w:rsidRDefault="00F96770" w:rsidP="001E43E6">
      <w:pPr>
        <w:tabs>
          <w:tab w:val="left" w:pos="288"/>
          <w:tab w:val="left" w:pos="81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sidR="001E43E6">
        <w:t xml:space="preserve">The </w:t>
      </w:r>
      <w:r w:rsidR="001E43E6" w:rsidRPr="00355D69">
        <w:t>A</w:t>
      </w:r>
      <w:r w:rsidR="001E43E6">
        <w:t>ssembly Appropriations Committee stateme</w:t>
      </w:r>
      <w:r w:rsidR="007637CC">
        <w:t>nt to this bill from December 18</w:t>
      </w:r>
      <w:r w:rsidR="001E43E6">
        <w:t xml:space="preserve">, 2020 </w:t>
      </w:r>
      <w:r w:rsidR="001E43E6" w:rsidRPr="00355D69">
        <w:t xml:space="preserve">includes a more detailed discussion of the </w:t>
      </w:r>
      <w:r w:rsidR="001E43E6">
        <w:t>provisions of the proposed legislation</w:t>
      </w:r>
      <w:r w:rsidR="001E43E6" w:rsidRPr="00355D69">
        <w:t>.</w:t>
      </w:r>
    </w:p>
    <w:p w:rsidR="004F67D5" w:rsidRDefault="004F67D5"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33AA5" w:rsidRDefault="00191301" w:rsidP="00191301">
      <w:pPr>
        <w:tabs>
          <w:tab w:val="left" w:pos="360"/>
          <w:tab w:val="left" w:pos="720"/>
          <w:tab w:val="left" w:pos="1440"/>
          <w:tab w:val="left" w:pos="2160"/>
          <w:tab w:val="left" w:pos="2880"/>
          <w:tab w:val="left" w:pos="3600"/>
          <w:tab w:val="left" w:pos="4320"/>
          <w:tab w:val="left" w:pos="5040"/>
        </w:tabs>
      </w:pPr>
      <w:r>
        <w:tab/>
      </w:r>
      <w:r w:rsidR="00A9723C">
        <w:t xml:space="preserve">The OLS </w:t>
      </w:r>
      <w:r w:rsidR="00C33AA5" w:rsidRPr="008B1D45">
        <w:t>is unable to ascertain whether the bill will have a positive or negative fiscal net impact on the State</w:t>
      </w:r>
      <w:r w:rsidR="00C33AA5">
        <w:t xml:space="preserve"> because of imperfect information on the number and attributes of projects that will</w:t>
      </w:r>
      <w:r w:rsidR="00C33AA5" w:rsidRPr="008B1D45">
        <w:t xml:space="preserve"> receive incentives as </w:t>
      </w:r>
      <w:r w:rsidR="00C33AA5">
        <w:t>a result of the bill’s enactment</w:t>
      </w:r>
      <w:r w:rsidR="00C33AA5" w:rsidRPr="008B1D45">
        <w:t xml:space="preserve">.  </w:t>
      </w:r>
    </w:p>
    <w:p w:rsidR="003809C1" w:rsidRDefault="00C33AA5" w:rsidP="00191301">
      <w:pPr>
        <w:tabs>
          <w:tab w:val="left" w:pos="360"/>
          <w:tab w:val="left" w:pos="720"/>
          <w:tab w:val="left" w:pos="1440"/>
          <w:tab w:val="left" w:pos="2160"/>
          <w:tab w:val="left" w:pos="2880"/>
          <w:tab w:val="left" w:pos="3600"/>
          <w:tab w:val="left" w:pos="4320"/>
          <w:tab w:val="left" w:pos="5040"/>
        </w:tabs>
      </w:pPr>
      <w:r>
        <w:tab/>
      </w:r>
      <w:r w:rsidR="003809C1">
        <w:t>The bill may produce a direct State revenue loss of as much as $14.4 billion, over a multi-year period, from newly established incentive programs and enhancements to existing ones.  In addition, State expenditures will increase by $55.5 million reflecting a</w:t>
      </w:r>
      <w:r w:rsidR="003809C1" w:rsidRPr="00433E76">
        <w:t>ppropriat</w:t>
      </w:r>
      <w:r w:rsidR="003809C1">
        <w:t>ions</w:t>
      </w:r>
      <w:r w:rsidR="003809C1" w:rsidRPr="00433E76">
        <w:t xml:space="preserve"> to support </w:t>
      </w:r>
      <w:r w:rsidR="003809C1">
        <w:t xml:space="preserve">certain </w:t>
      </w:r>
      <w:r w:rsidR="003809C1" w:rsidRPr="00433E76">
        <w:t>programs and administrative operations</w:t>
      </w:r>
      <w:r w:rsidR="003809C1">
        <w:t>.</w:t>
      </w:r>
    </w:p>
    <w:p w:rsidR="00191301" w:rsidRDefault="00A9723C" w:rsidP="00191301">
      <w:pPr>
        <w:tabs>
          <w:tab w:val="left" w:pos="360"/>
          <w:tab w:val="left" w:pos="720"/>
          <w:tab w:val="left" w:pos="1440"/>
          <w:tab w:val="left" w:pos="2160"/>
          <w:tab w:val="left" w:pos="2880"/>
          <w:tab w:val="left" w:pos="3600"/>
          <w:tab w:val="left" w:pos="4320"/>
          <w:tab w:val="left" w:pos="5040"/>
        </w:tabs>
      </w:pPr>
      <w:r w:rsidRPr="00A9723C">
        <w:tab/>
      </w:r>
      <w:r w:rsidR="00433E76">
        <w:t xml:space="preserve">The bill </w:t>
      </w:r>
      <w:r w:rsidR="00191301">
        <w:t xml:space="preserve">is likely to produce a revenue gain </w:t>
      </w:r>
      <w:r w:rsidR="00433E76">
        <w:t>for certain</w:t>
      </w:r>
      <w:r w:rsidR="00191301">
        <w:t xml:space="preserve"> local governments if the </w:t>
      </w:r>
      <w:r w:rsidR="00433E76">
        <w:t>bill</w:t>
      </w:r>
      <w:r w:rsidR="00191301">
        <w:t xml:space="preserve"> results in the EDA extending </w:t>
      </w:r>
      <w:r w:rsidR="00734E78">
        <w:t>financial assistance to projects</w:t>
      </w:r>
      <w:r w:rsidR="00433E76">
        <w:t xml:space="preserve"> </w:t>
      </w:r>
      <w:r w:rsidR="00191301">
        <w:t>that would not be undertaken absent the assistance and if the projects involve value-increasing improvements to taxable real estate.</w:t>
      </w:r>
    </w:p>
    <w:p w:rsidR="00191301" w:rsidRDefault="00191301" w:rsidP="00191301">
      <w:pPr>
        <w:tabs>
          <w:tab w:val="left" w:pos="360"/>
          <w:tab w:val="left" w:pos="720"/>
          <w:tab w:val="left" w:pos="1440"/>
          <w:tab w:val="left" w:pos="2160"/>
          <w:tab w:val="left" w:pos="2880"/>
          <w:tab w:val="left" w:pos="3600"/>
          <w:tab w:val="left" w:pos="4320"/>
          <w:tab w:val="left" w:pos="5040"/>
        </w:tabs>
      </w:pPr>
      <w:r>
        <w:lastRenderedPageBreak/>
        <w:tab/>
        <w:t>Conceptually, the State fiscal net impact is calculated by adding the direct revenue loss from awarding additional incentive amounts and their opportunity costs (the fiscal benefits the State forgoes as spending is redirected from one economic activity to another) and subtracting from that sum the indirect revenue gain that will accrue from additional economic activity that the additional incentive amounts will catalyze.</w:t>
      </w:r>
    </w:p>
    <w:p w:rsidR="00191301" w:rsidRDefault="00191301" w:rsidP="00191301">
      <w:pPr>
        <w:tabs>
          <w:tab w:val="left" w:pos="360"/>
          <w:tab w:val="left" w:pos="720"/>
          <w:tab w:val="left" w:pos="1440"/>
          <w:tab w:val="left" w:pos="2160"/>
          <w:tab w:val="left" w:pos="2880"/>
          <w:tab w:val="left" w:pos="3600"/>
          <w:tab w:val="left" w:pos="4320"/>
          <w:tab w:val="left" w:pos="5040"/>
        </w:tabs>
      </w:pPr>
    </w:p>
    <w:p w:rsidR="00191301" w:rsidRDefault="00191301" w:rsidP="00191301">
      <w:pPr>
        <w:tabs>
          <w:tab w:val="left" w:pos="360"/>
          <w:tab w:val="left" w:pos="720"/>
          <w:tab w:val="left" w:pos="1440"/>
          <w:tab w:val="left" w:pos="2160"/>
          <w:tab w:val="left" w:pos="2880"/>
          <w:tab w:val="left" w:pos="3600"/>
          <w:tab w:val="left" w:pos="4320"/>
          <w:tab w:val="left" w:pos="5040"/>
        </w:tabs>
      </w:pPr>
      <w:r>
        <w:rPr>
          <w:b/>
          <w:u w:val="single"/>
        </w:rPr>
        <w:t>Direct</w:t>
      </w:r>
      <w:r w:rsidRPr="00E0124E">
        <w:rPr>
          <w:b/>
          <w:u w:val="single"/>
        </w:rPr>
        <w:t xml:space="preserve"> </w:t>
      </w:r>
      <w:r>
        <w:rPr>
          <w:b/>
          <w:u w:val="single"/>
        </w:rPr>
        <w:t>State Revenue Loss:</w:t>
      </w:r>
      <w:r>
        <w:t xml:space="preserve">  The OLS cannot quantify the </w:t>
      </w:r>
      <w:r w:rsidR="00433E76">
        <w:t xml:space="preserve">precise </w:t>
      </w:r>
      <w:r w:rsidRPr="00134555">
        <w:t>direct</w:t>
      </w:r>
      <w:r>
        <w:t xml:space="preserve"> revenue loss</w:t>
      </w:r>
      <w:r w:rsidRPr="00134555">
        <w:t xml:space="preserve"> </w:t>
      </w:r>
      <w:r>
        <w:t xml:space="preserve">the bill will impose on </w:t>
      </w:r>
      <w:r w:rsidRPr="00134555">
        <w:t>the State</w:t>
      </w:r>
      <w:r w:rsidR="00433E76">
        <w:t xml:space="preserve">, but notes that incentive awards across all programs either newly established or modified </w:t>
      </w:r>
      <w:r w:rsidR="00E818C0">
        <w:t xml:space="preserve">by </w:t>
      </w:r>
      <w:r w:rsidR="00433E76">
        <w:t xml:space="preserve">the bill will be </w:t>
      </w:r>
      <w:r w:rsidR="00D33134">
        <w:t xml:space="preserve">largely </w:t>
      </w:r>
      <w:r w:rsidR="00433E76">
        <w:t xml:space="preserve">capped at </w:t>
      </w:r>
      <w:r w:rsidR="00D33134">
        <w:t>approximately</w:t>
      </w:r>
      <w:r w:rsidR="00433E76">
        <w:t xml:space="preserve"> $</w:t>
      </w:r>
      <w:r w:rsidR="009B68C7">
        <w:t>1</w:t>
      </w:r>
      <w:r w:rsidR="00D33134">
        <w:t>4</w:t>
      </w:r>
      <w:r w:rsidR="009B68C7">
        <w:t>.4</w:t>
      </w:r>
      <w:r w:rsidR="00433E76">
        <w:t xml:space="preserve"> billion </w:t>
      </w:r>
      <w:r w:rsidR="008C78C0">
        <w:t>and temporall</w:t>
      </w:r>
      <w:r w:rsidR="00D33134">
        <w:t>y limited</w:t>
      </w:r>
      <w:r>
        <w:t xml:space="preserve">.  The revenue reduction from any financial assistance </w:t>
      </w:r>
      <w:r w:rsidR="008C78C0">
        <w:t>may extend past the years</w:t>
      </w:r>
      <w:r w:rsidR="00CB3356">
        <w:t xml:space="preserve"> allotted for each program</w:t>
      </w:r>
      <w:r w:rsidR="008C78C0">
        <w:t>, however, as carry</w:t>
      </w:r>
      <w:r w:rsidR="0043493C">
        <w:t xml:space="preserve"> </w:t>
      </w:r>
      <w:r w:rsidR="008C78C0">
        <w:t>forward provisions and tax credit transfer certificates may be redeemable outside that timeframe</w:t>
      </w:r>
      <w:r>
        <w:t xml:space="preserve">.  </w:t>
      </w:r>
      <w:r w:rsidR="002E215D">
        <w:t>The OLS further notes that the bill allow the EDA to recapture or rescind incentive awards under certain circumstances.  Those provisions may offset, at least in part, future revenue losses.</w:t>
      </w:r>
    </w:p>
    <w:p w:rsidR="00191301" w:rsidRDefault="00191301" w:rsidP="00191301">
      <w:pPr>
        <w:tabs>
          <w:tab w:val="left" w:pos="360"/>
          <w:tab w:val="left" w:pos="720"/>
          <w:tab w:val="left" w:pos="1440"/>
          <w:tab w:val="left" w:pos="2160"/>
          <w:tab w:val="left" w:pos="2880"/>
          <w:tab w:val="left" w:pos="3600"/>
          <w:tab w:val="left" w:pos="4320"/>
          <w:tab w:val="left" w:pos="5040"/>
        </w:tabs>
        <w:rPr>
          <w:b/>
          <w:u w:val="single"/>
        </w:rPr>
      </w:pPr>
    </w:p>
    <w:p w:rsidR="00191301" w:rsidRDefault="00191301" w:rsidP="00191301">
      <w:pPr>
        <w:tabs>
          <w:tab w:val="left" w:pos="360"/>
          <w:tab w:val="left" w:pos="720"/>
          <w:tab w:val="left" w:pos="1440"/>
          <w:tab w:val="left" w:pos="2160"/>
          <w:tab w:val="left" w:pos="2880"/>
          <w:tab w:val="left" w:pos="3600"/>
          <w:tab w:val="left" w:pos="4320"/>
          <w:tab w:val="left" w:pos="5040"/>
        </w:tabs>
      </w:pPr>
      <w:r>
        <w:rPr>
          <w:b/>
          <w:u w:val="single"/>
        </w:rPr>
        <w:t>Indirect</w:t>
      </w:r>
      <w:r w:rsidRPr="00113F24">
        <w:rPr>
          <w:b/>
          <w:u w:val="single"/>
        </w:rPr>
        <w:t xml:space="preserve"> </w:t>
      </w:r>
      <w:r>
        <w:rPr>
          <w:b/>
          <w:u w:val="single"/>
        </w:rPr>
        <w:t>State and Local Revenue Gain:</w:t>
      </w:r>
      <w:r>
        <w:t xml:space="preserve">  Imperfect information on the number and attributes of projects that, under the bill, might newly qua</w:t>
      </w:r>
      <w:r w:rsidRPr="00EC0572">
        <w:t xml:space="preserve">lify for </w:t>
      </w:r>
      <w:r>
        <w:t xml:space="preserve">incentive awards precludes the OLS from quantifying the </w:t>
      </w:r>
      <w:r w:rsidR="008C78C0">
        <w:t>bill</w:t>
      </w:r>
      <w:r>
        <w:t>’s indirect revenue gain to the State and local governments.  For reasons laid out below, the OLS cannot project whether the bill’s indirect fiscal State benefits will exceed its direct State revenue loss.</w:t>
      </w:r>
    </w:p>
    <w:p w:rsidR="00191301" w:rsidRDefault="00191301" w:rsidP="00191301">
      <w:pPr>
        <w:tabs>
          <w:tab w:val="left" w:pos="360"/>
          <w:tab w:val="left" w:pos="720"/>
          <w:tab w:val="left" w:pos="1440"/>
          <w:tab w:val="left" w:pos="2160"/>
          <w:tab w:val="left" w:pos="2880"/>
          <w:tab w:val="left" w:pos="3600"/>
          <w:tab w:val="left" w:pos="4320"/>
          <w:tab w:val="left" w:pos="5040"/>
        </w:tabs>
      </w:pPr>
      <w:r>
        <w:tab/>
      </w:r>
      <w:r>
        <w:rPr>
          <w:u w:val="single"/>
        </w:rPr>
        <w:t>Analytical Framework</w:t>
      </w:r>
      <w:r w:rsidRPr="00787872">
        <w:rPr>
          <w:u w:val="single"/>
        </w:rPr>
        <w:t>:</w:t>
      </w:r>
      <w:r>
        <w:t xml:space="preserve">  Like any government expenditure, economic development incentive awards inject new spending into the economy.  Once businesses and individuals receive </w:t>
      </w:r>
      <w:r w:rsidR="008C78C0">
        <w:t>payments</w:t>
      </w:r>
      <w:r>
        <w:t xml:space="preserve"> th</w:t>
      </w:r>
      <w:r w:rsidR="008C78C0">
        <w:t>at</w:t>
      </w:r>
      <w:r>
        <w:t xml:space="preserve"> would </w:t>
      </w:r>
      <w:r w:rsidR="008C78C0">
        <w:t xml:space="preserve">otherwise </w:t>
      </w:r>
      <w:r>
        <w:t xml:space="preserve">not </w:t>
      </w:r>
      <w:r w:rsidR="008C78C0">
        <w:t xml:space="preserve">be </w:t>
      </w:r>
      <w:r>
        <w:t>receive</w:t>
      </w:r>
      <w:r w:rsidR="008C78C0">
        <w:t>d</w:t>
      </w:r>
      <w:r>
        <w:t xml:space="preserve"> absent the incentive awards, at least a portion of these payments will newly circulate in New Jersey’s economy and produce so-called “multiplier effects.”  As the additional financial resources flow through the economy they generate, as a byproduct, additional State and local revenue collections—the indirect revenue gain discussed in this section.  Examples are enhanced local property tax collections accruing when an incentive recipient invests the incentive amount in business facility improvements, which then appreciate the property’s value; or additional State sales and use tax collections from construction workers employed in a business facility improvement spending their resultant income on taxable goods and services.</w:t>
      </w:r>
    </w:p>
    <w:p w:rsidR="00191301" w:rsidRDefault="00191301" w:rsidP="00191301">
      <w:pPr>
        <w:tabs>
          <w:tab w:val="left" w:pos="360"/>
          <w:tab w:val="left" w:pos="720"/>
          <w:tab w:val="left" w:pos="1440"/>
          <w:tab w:val="left" w:pos="2160"/>
          <w:tab w:val="left" w:pos="2880"/>
          <w:tab w:val="left" w:pos="3600"/>
          <w:tab w:val="left" w:pos="4320"/>
          <w:tab w:val="left" w:pos="5040"/>
        </w:tabs>
      </w:pPr>
      <w:r>
        <w:tab/>
        <w:t xml:space="preserve">Indirect State fiscal effects offset the State’s direct revenue loss from awarding incentives in part or potentially even in whole.  Fiscal “multiplier effects” tend to be maximized whenever an incentive award serves as the indispensable impetus for additional spending by the incentive recipient that would not otherwise occur.  In this case, the incentive recipient magnifies the positive economic and fiscal impacts of the State’s outlay.  Depending on project and incentive attributes, the induced project may even yield indirect fiscal State benefits exceeding the subsidy amount.  The larger the proportion of the public assistance relative to the financial outlay by the subsidized party, however, the lower the probability that the subsidized activity will generate positive net returns to the State.  </w:t>
      </w:r>
    </w:p>
    <w:p w:rsidR="00191301" w:rsidRDefault="00191301" w:rsidP="00191301">
      <w:pPr>
        <w:tabs>
          <w:tab w:val="left" w:pos="360"/>
          <w:tab w:val="left" w:pos="720"/>
          <w:tab w:val="left" w:pos="1440"/>
          <w:tab w:val="left" w:pos="2160"/>
          <w:tab w:val="left" w:pos="2880"/>
          <w:tab w:val="left" w:pos="3600"/>
          <w:tab w:val="left" w:pos="4320"/>
          <w:tab w:val="left" w:pos="5040"/>
        </w:tabs>
      </w:pPr>
      <w:r>
        <w:tab/>
        <w:t xml:space="preserve">In contrast, the State’s return on investment is negative whenever the State subsidizes a project that a taxpayer will undertake with or without the public assistance.  Because the financial inducement has not caused the project’s realization, none of its economic and fiscal feedback effects are attributable to the incentive, and therefore must be excluded from the tabulation of the incentive’s indirect fiscal benefits.  </w:t>
      </w:r>
    </w:p>
    <w:p w:rsidR="00191301" w:rsidRDefault="00191301" w:rsidP="00191301">
      <w:pPr>
        <w:tabs>
          <w:tab w:val="left" w:pos="360"/>
          <w:tab w:val="left" w:pos="720"/>
          <w:tab w:val="left" w:pos="1440"/>
          <w:tab w:val="left" w:pos="2160"/>
          <w:tab w:val="left" w:pos="2880"/>
          <w:tab w:val="left" w:pos="3600"/>
          <w:tab w:val="left" w:pos="4320"/>
          <w:tab w:val="left" w:pos="5040"/>
        </w:tabs>
      </w:pPr>
      <w:r>
        <w:tab/>
        <w:t xml:space="preserve">Nevertheless, even if the State provides financial assistance to a project that would be realized anyway, some, albeit comparatively small, indirect fiscal benefits may still accrue to the State.  These would occur whenever the subsidy beneficiary spends the incentive award in </w:t>
      </w:r>
      <w:smartTag w:uri="urn:schemas-microsoft-com:office:smarttags" w:element="State">
        <w:smartTag w:uri="urn:schemas-microsoft-com:office:smarttags" w:element="place">
          <w:r>
            <w:t>New Jersey</w:t>
          </w:r>
        </w:smartTag>
      </w:smartTag>
      <w:r>
        <w:t xml:space="preserve"> on goods and services that the beneficiary would otherwise not have procured.  In that event the </w:t>
      </w:r>
      <w:r>
        <w:lastRenderedPageBreak/>
        <w:t xml:space="preserve">incentive award still represents an injection of additional cash into </w:t>
      </w:r>
      <w:smartTag w:uri="urn:schemas-microsoft-com:office:smarttags" w:element="State">
        <w:smartTag w:uri="urn:schemas-microsoft-com:office:smarttags" w:element="place">
          <w:r>
            <w:t>New Jersey</w:t>
          </w:r>
        </w:smartTag>
      </w:smartTag>
      <w:r>
        <w:t xml:space="preserve">’s economy whose ripple effects include the accumulation of indirect fiscal State benefits. </w:t>
      </w:r>
    </w:p>
    <w:p w:rsidR="00191301" w:rsidRDefault="00191301" w:rsidP="00191301">
      <w:pPr>
        <w:tabs>
          <w:tab w:val="left" w:pos="360"/>
          <w:tab w:val="left" w:pos="720"/>
          <w:tab w:val="left" w:pos="1440"/>
          <w:tab w:val="left" w:pos="2160"/>
          <w:tab w:val="left" w:pos="2880"/>
          <w:tab w:val="left" w:pos="3600"/>
          <w:tab w:val="left" w:pos="4320"/>
          <w:tab w:val="left" w:pos="5040"/>
        </w:tabs>
      </w:pPr>
      <w:r>
        <w:tab/>
        <w:t xml:space="preserve">Lastly, given the high degree of integration of </w:t>
      </w:r>
      <w:smartTag w:uri="urn:schemas-microsoft-com:office:smarttags" w:element="State">
        <w:r>
          <w:t>New Jersey</w:t>
        </w:r>
      </w:smartTag>
      <w:r>
        <w:t xml:space="preserve">’s economy with the national and global economies, an addition of spending in </w:t>
      </w:r>
      <w:smartTag w:uri="urn:schemas-microsoft-com:office:smarttags" w:element="State">
        <w:smartTag w:uri="urn:schemas-microsoft-com:office:smarttags" w:element="place">
          <w:r>
            <w:t>New Jersey</w:t>
          </w:r>
        </w:smartTag>
      </w:smartTag>
      <w:r>
        <w:t xml:space="preserve"> will eventually leak into other jurisdictions and cease to circulate within the State.  Consequently, any tabulation of a subsidy payment’s </w:t>
      </w:r>
      <w:smartTag w:uri="urn:schemas-microsoft-com:office:smarttags" w:element="State">
        <w:smartTag w:uri="urn:schemas-microsoft-com:office:smarttags" w:element="place">
          <w:r>
            <w:t>New Jersey</w:t>
          </w:r>
        </w:smartTag>
      </w:smartTag>
      <w:r>
        <w:t xml:space="preserve"> feedback effects must disregard feedback effects that other jurisdictions will absorb.  For example, a </w:t>
      </w:r>
      <w:smartTag w:uri="urn:schemas-microsoft-com:office:smarttags" w:element="State">
        <w:r>
          <w:t>Pennsylvania</w:t>
        </w:r>
      </w:smartTag>
      <w:r>
        <w:t xml:space="preserve"> resident who works as a carpenter on a subsidized redevelopment project in </w:t>
      </w:r>
      <w:smartTag w:uri="urn:schemas-microsoft-com:office:smarttags" w:element="State">
        <w:r>
          <w:t>New Jersey</w:t>
        </w:r>
      </w:smartTag>
      <w:r>
        <w:t xml:space="preserve"> will pay </w:t>
      </w:r>
      <w:smartTag w:uri="urn:schemas-microsoft-com:office:smarttags" w:element="State">
        <w:r>
          <w:t>Pennsylvania</w:t>
        </w:r>
      </w:smartTag>
      <w:r>
        <w:t xml:space="preserve">, and not </w:t>
      </w:r>
      <w:smartTag w:uri="urn:schemas-microsoft-com:office:smarttags" w:element="State">
        <w:r>
          <w:t>New Jersey</w:t>
        </w:r>
      </w:smartTag>
      <w:r>
        <w:t xml:space="preserve">, income tax on the compensation earned in accordance with the </w:t>
      </w:r>
      <w:r w:rsidRPr="000B736B">
        <w:t xml:space="preserve">State of </w:t>
      </w:r>
      <w:smartTag w:uri="urn:schemas-microsoft-com:office:smarttags" w:element="State">
        <w:r w:rsidRPr="000B736B">
          <w:t>New Jersey</w:t>
        </w:r>
      </w:smartTag>
      <w:r w:rsidRPr="000B736B">
        <w:t xml:space="preserve"> and the </w:t>
      </w:r>
      <w:smartTag w:uri="urn:schemas-microsoft-com:office:smarttags" w:element="place">
        <w:smartTag w:uri="urn:schemas-microsoft-com:office:smarttags" w:element="PlaceType">
          <w:r w:rsidRPr="000B736B">
            <w:t>Commonwealth</w:t>
          </w:r>
        </w:smartTag>
        <w:r w:rsidRPr="000B736B">
          <w:t xml:space="preserve"> of </w:t>
        </w:r>
        <w:smartTag w:uri="urn:schemas-microsoft-com:office:smarttags" w:element="PlaceName">
          <w:r w:rsidRPr="000B736B">
            <w:t>Pennsylvania Reciprocal Personal Income Tax Agreement</w:t>
          </w:r>
        </w:smartTag>
      </w:smartTag>
      <w:r w:rsidRPr="000B736B">
        <w:t>.</w:t>
      </w:r>
      <w:r>
        <w:t xml:space="preserve">  </w:t>
      </w:r>
    </w:p>
    <w:p w:rsidR="00191301" w:rsidRDefault="00191301" w:rsidP="00191301">
      <w:pPr>
        <w:tabs>
          <w:tab w:val="left" w:pos="360"/>
          <w:tab w:val="left" w:pos="720"/>
          <w:tab w:val="left" w:pos="1440"/>
          <w:tab w:val="left" w:pos="2160"/>
          <w:tab w:val="left" w:pos="2880"/>
          <w:tab w:val="left" w:pos="3600"/>
          <w:tab w:val="left" w:pos="4320"/>
          <w:tab w:val="left" w:pos="5040"/>
        </w:tabs>
      </w:pPr>
      <w:r>
        <w:tab/>
      </w:r>
      <w:r>
        <w:rPr>
          <w:u w:val="single"/>
        </w:rPr>
        <w:t>Bill’s</w:t>
      </w:r>
      <w:r w:rsidRPr="00787872">
        <w:rPr>
          <w:u w:val="single"/>
        </w:rPr>
        <w:t xml:space="preserve"> </w:t>
      </w:r>
      <w:r>
        <w:rPr>
          <w:u w:val="single"/>
        </w:rPr>
        <w:t>State</w:t>
      </w:r>
      <w:r w:rsidRPr="00787872">
        <w:rPr>
          <w:u w:val="single"/>
        </w:rPr>
        <w:t xml:space="preserve"> Indirect </w:t>
      </w:r>
      <w:r>
        <w:rPr>
          <w:u w:val="single"/>
        </w:rPr>
        <w:t xml:space="preserve">Fiscal </w:t>
      </w:r>
      <w:r w:rsidRPr="00787872">
        <w:rPr>
          <w:u w:val="single"/>
        </w:rPr>
        <w:t>Effects:</w:t>
      </w:r>
      <w:r>
        <w:t xml:space="preserve">  It is unclear whether the bill’s indirect fiscal State benefits will exceed its direct State revenue loss.</w:t>
      </w:r>
    </w:p>
    <w:p w:rsidR="00191301" w:rsidRDefault="00191301" w:rsidP="00191301">
      <w:pPr>
        <w:tabs>
          <w:tab w:val="left" w:pos="360"/>
          <w:tab w:val="left" w:pos="720"/>
          <w:tab w:val="left" w:pos="1440"/>
          <w:tab w:val="left" w:pos="2160"/>
          <w:tab w:val="left" w:pos="2880"/>
          <w:tab w:val="left" w:pos="3600"/>
          <w:tab w:val="left" w:pos="4320"/>
          <w:tab w:val="left" w:pos="5040"/>
        </w:tabs>
      </w:pPr>
      <w:r>
        <w:tab/>
        <w:t xml:space="preserve">The OLS expects </w:t>
      </w:r>
      <w:r w:rsidR="008C78C0">
        <w:t>this bill</w:t>
      </w:r>
      <w:r>
        <w:t xml:space="preserve"> to lead to the EDA issuing additional incentive awards</w:t>
      </w:r>
      <w:r w:rsidR="008C78C0">
        <w:t xml:space="preserve"> under both new and existing incentive programs</w:t>
      </w:r>
      <w:r>
        <w:t>.  It is uncertain, however, whether the additional incentive awards will generate indirect fiscal benefits to the State that will exceed the direct State revenue loss resulting from th</w:t>
      </w:r>
      <w:r w:rsidR="008C78C0">
        <w:t>ose</w:t>
      </w:r>
      <w:r>
        <w:t xml:space="preserve"> incentive awards.  For two reasons, however, the OLS expects that the indirect fiscal benefits </w:t>
      </w:r>
      <w:r w:rsidR="00A44754">
        <w:t>may</w:t>
      </w:r>
      <w:r>
        <w:t xml:space="preserve"> be less than the direct State revenue loss.  First, not all of the EDA’s financial assistance programs </w:t>
      </w:r>
      <w:r w:rsidR="008C78C0">
        <w:t>addressed in this bill</w:t>
      </w:r>
      <w:r>
        <w:t xml:space="preserve"> are subject to </w:t>
      </w:r>
      <w:r w:rsidR="008C78C0">
        <w:t>some form of a</w:t>
      </w:r>
      <w:r>
        <w:t xml:space="preserve"> net benefit test calculation.  The </w:t>
      </w:r>
      <w:r w:rsidR="008C78C0">
        <w:t xml:space="preserve">traditional </w:t>
      </w:r>
      <w:r>
        <w:t>calculation is intended to ensure that the EDA will award incentives only to capital projects that are estimated to generate i</w:t>
      </w:r>
      <w:r w:rsidRPr="00CD4F89">
        <w:t xml:space="preserve">ndirect State </w:t>
      </w:r>
      <w:r>
        <w:t>revenue</w:t>
      </w:r>
      <w:r w:rsidRPr="00CD4F89">
        <w:t xml:space="preserve"> </w:t>
      </w:r>
      <w:r>
        <w:t>equal to at least 110 percent of an inducement’s direct State revenue loss.</w:t>
      </w:r>
      <w:r w:rsidR="008C78C0">
        <w:t xml:space="preserve">  However, some programs alter that net benefit test requirement or </w:t>
      </w:r>
      <w:r w:rsidR="002E215D">
        <w:t>exclude it</w:t>
      </w:r>
      <w:r w:rsidR="008C78C0">
        <w:t xml:space="preserve"> entirely.</w:t>
      </w:r>
      <w:r>
        <w:t xml:space="preserve">  In addition, not all of the programs require that the financial assistance be instrumental to project execution.  As a result, the bill allows for projects to receive financial assistance that will happen irrespective of the receipt of the State assistance.  Whenever that happens, none of a project’s indirect fiscal benefits can be causally attributed to the assistance.</w:t>
      </w:r>
    </w:p>
    <w:p w:rsidR="00191301" w:rsidRDefault="00191301" w:rsidP="00191301">
      <w:pPr>
        <w:tabs>
          <w:tab w:val="left" w:pos="360"/>
          <w:tab w:val="left" w:pos="720"/>
          <w:tab w:val="left" w:pos="1440"/>
          <w:tab w:val="left" w:pos="2160"/>
          <w:tab w:val="left" w:pos="2880"/>
          <w:tab w:val="left" w:pos="3600"/>
          <w:tab w:val="left" w:pos="4320"/>
          <w:tab w:val="left" w:pos="5040"/>
        </w:tabs>
      </w:pPr>
      <w:r>
        <w:tab/>
        <w:t xml:space="preserve">But the OLS points out that it is possible that incentive-receiving projects that will not have been induced by the incentive programs may generate some indirect fiscal State benefits.  This would occur whenever recipients of such incentives spend their incentive awards in New Jersey on goods and services that they would not have procured absent the incentive </w:t>
      </w:r>
      <w:r w:rsidR="00607E92">
        <w:t>award.</w:t>
      </w:r>
      <w:r>
        <w:t xml:space="preserve">   </w:t>
      </w:r>
    </w:p>
    <w:p w:rsidR="00191301" w:rsidRDefault="00191301" w:rsidP="00191301">
      <w:pPr>
        <w:tabs>
          <w:tab w:val="left" w:pos="360"/>
          <w:tab w:val="left" w:pos="720"/>
          <w:tab w:val="left" w:pos="1440"/>
          <w:tab w:val="left" w:pos="2160"/>
          <w:tab w:val="left" w:pos="2880"/>
          <w:tab w:val="left" w:pos="3600"/>
          <w:tab w:val="left" w:pos="4320"/>
          <w:tab w:val="left" w:pos="5040"/>
        </w:tabs>
      </w:pPr>
      <w:r>
        <w:tab/>
        <w:t xml:space="preserve">Irrespective of the magnitude of the bill’s indirect fiscal benefits, the analysis of its full impact on State finances is incomplete without considering the bill’s opportunity costs.  </w:t>
      </w:r>
    </w:p>
    <w:p w:rsidR="00191301" w:rsidRDefault="00191301" w:rsidP="00191301">
      <w:pPr>
        <w:tabs>
          <w:tab w:val="left" w:pos="360"/>
          <w:tab w:val="left" w:pos="720"/>
          <w:tab w:val="left" w:pos="1440"/>
          <w:tab w:val="left" w:pos="2160"/>
          <w:tab w:val="left" w:pos="2880"/>
          <w:tab w:val="left" w:pos="3600"/>
          <w:tab w:val="left" w:pos="4320"/>
          <w:tab w:val="left" w:pos="5040"/>
        </w:tabs>
      </w:pPr>
    </w:p>
    <w:p w:rsidR="00191301" w:rsidRDefault="00191301" w:rsidP="00191301">
      <w:pPr>
        <w:tabs>
          <w:tab w:val="left" w:pos="360"/>
          <w:tab w:val="left" w:pos="720"/>
          <w:tab w:val="left" w:pos="1440"/>
          <w:tab w:val="left" w:pos="2160"/>
          <w:tab w:val="left" w:pos="2880"/>
          <w:tab w:val="left" w:pos="3600"/>
          <w:tab w:val="left" w:pos="4320"/>
          <w:tab w:val="left" w:pos="5040"/>
        </w:tabs>
      </w:pPr>
      <w:r>
        <w:rPr>
          <w:b/>
          <w:u w:val="single"/>
        </w:rPr>
        <w:t>State Opportunity Costs</w:t>
      </w:r>
      <w:r w:rsidRPr="004969CA">
        <w:rPr>
          <w:b/>
          <w:u w:val="single"/>
        </w:rPr>
        <w:t>:</w:t>
      </w:r>
      <w:r>
        <w:t xml:space="preserve">  Given the State’s finite resources and its balanced budget requirement, the decision to </w:t>
      </w:r>
      <w:r w:rsidR="002E215D">
        <w:t>pursue new incentive programs as well as enhance existing incentive programs</w:t>
      </w:r>
      <w:r>
        <w:t xml:space="preserve"> will invariably divert resources from policy alternatives to which they would have been applied absent the inducements.  These policy alternatives also produce direct State costs and indirect State revenue collections.  The concept of opportunity costs captures the value of these fiscal benefits the State foregoes as it redirects cash flows.  Once opportunity costs are factored into the analysis, it is therefore possible for a bill to produce a </w:t>
      </w:r>
      <w:r w:rsidRPr="006A13DF">
        <w:rPr>
          <w:i/>
        </w:rPr>
        <w:t>net</w:t>
      </w:r>
      <w:r>
        <w:rPr>
          <w:i/>
        </w:rPr>
        <w:t xml:space="preserve"> </w:t>
      </w:r>
      <w:r>
        <w:t xml:space="preserve">fiscal loss to the State even if its indirect fiscal benefits exceed its direct cost.  </w:t>
      </w:r>
    </w:p>
    <w:p w:rsidR="004D13C7" w:rsidRDefault="00191301" w:rsidP="004D13C7">
      <w:pPr>
        <w:tabs>
          <w:tab w:val="left" w:pos="360"/>
          <w:tab w:val="left" w:pos="720"/>
          <w:tab w:val="left" w:pos="1440"/>
          <w:tab w:val="left" w:pos="2160"/>
          <w:tab w:val="left" w:pos="2880"/>
          <w:tab w:val="left" w:pos="3600"/>
          <w:tab w:val="left" w:pos="4320"/>
          <w:tab w:val="left" w:pos="5040"/>
        </w:tabs>
      </w:pPr>
      <w:r>
        <w:tab/>
        <w:t xml:space="preserve">For example, if, instead of this </w:t>
      </w:r>
      <w:r w:rsidR="002E215D">
        <w:t>bill</w:t>
      </w:r>
      <w:r>
        <w:t xml:space="preserve">, the State invested in road construction the bill would produce a </w:t>
      </w:r>
      <w:r>
        <w:rPr>
          <w:i/>
        </w:rPr>
        <w:t xml:space="preserve">net </w:t>
      </w:r>
      <w:r>
        <w:t xml:space="preserve">fiscal effect equal to the difference between the total fiscal impact of the additional incentive awards—or the direct State revenue loss from awarding the additional incentives minus the additional incentives’ indirect State fiscal effects—and that of the foregone road construction investment. </w:t>
      </w:r>
      <w:r w:rsidR="004D13C7">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4D13C7">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6100BD" w:rsidP="006100BD">
            <w:pPr>
              <w:pStyle w:val="10pointItalics"/>
              <w:rPr>
                <w:sz w:val="24"/>
              </w:rPr>
            </w:pPr>
            <w:bookmarkStart w:id="2" w:name="Section"/>
            <w:r>
              <w:t>Revenue, Finance and Appropriations</w:t>
            </w:r>
            <w:bookmarkEnd w:id="2"/>
          </w:p>
        </w:tc>
      </w:tr>
      <w:tr w:rsidR="00EF17BC" w:rsidTr="004D13C7">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56345" w:rsidP="00EF17BC">
            <w:pPr>
              <w:pStyle w:val="10pointItalics"/>
            </w:pPr>
            <w:bookmarkStart w:id="3" w:name="UserFullName"/>
            <w:bookmarkEnd w:id="3"/>
            <w:r>
              <w:t xml:space="preserve">Jordan </w:t>
            </w:r>
            <w:r w:rsidR="006100BD">
              <w:t xml:space="preserve">M. </w:t>
            </w:r>
            <w:r>
              <w:t>DiGiovanni</w:t>
            </w:r>
          </w:p>
          <w:p w:rsidR="00EF17BC" w:rsidRDefault="006100BD" w:rsidP="00EF17BC">
            <w:pPr>
              <w:pStyle w:val="10pointItalics"/>
              <w:rPr>
                <w:sz w:val="24"/>
              </w:rPr>
            </w:pPr>
            <w:r>
              <w:t>Revenue Analyst</w:t>
            </w:r>
          </w:p>
        </w:tc>
      </w:tr>
      <w:tr w:rsidR="00EF17BC" w:rsidTr="004D13C7">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EB4914" w:rsidRDefault="00EB4914" w:rsidP="00EB4914">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46DB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70FE" w:rsidRDefault="00A870FE">
      <w:r>
        <w:separator/>
      </w:r>
    </w:p>
  </w:endnote>
  <w:endnote w:type="continuationSeparator" w:id="0">
    <w:p w:rsidR="00A870FE" w:rsidRDefault="00A87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rsidR="00E042C5" w:rsidRDefault="007531C8">
          <w:pPr>
            <w:pStyle w:val="Footer"/>
          </w:pPr>
          <w:r>
            <w:rPr>
              <w:noProof/>
              <w:sz w:val="20"/>
              <w:szCs w:val="20"/>
            </w:rPr>
            <w:object w:dxaOrig="1440" w:dyaOrig="1440" w14:anchorId="5DC287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031666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70FE" w:rsidRDefault="00A870FE">
      <w:r>
        <w:separator/>
      </w:r>
    </w:p>
  </w:footnote>
  <w:footnote w:type="continuationSeparator" w:id="0">
    <w:p w:rsidR="00A870FE" w:rsidRDefault="00A870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DBB" w:rsidRDefault="00F46DBB" w:rsidP="00F46DBB">
    <w:pPr>
      <w:pStyle w:val="Header"/>
      <w:jc w:val="center"/>
    </w:pPr>
    <w:r>
      <w:t>F</w:t>
    </w:r>
    <w:r w:rsidR="004D13C7">
      <w:t>E to A</w:t>
    </w:r>
    <w:r>
      <w:t xml:space="preserve">4 </w:t>
    </w:r>
    <w:r w:rsidR="00272021">
      <w:t>[1R]</w:t>
    </w:r>
  </w:p>
  <w:p w:rsidR="00F46DBB" w:rsidRDefault="00F46DBB" w:rsidP="00F46DBB">
    <w:pPr>
      <w:pStyle w:val="Header"/>
      <w:jc w:val="center"/>
    </w:pPr>
    <w:r>
      <w:fldChar w:fldCharType="begin"/>
    </w:r>
    <w:r>
      <w:instrText xml:space="preserve"> PAGE  \* MERGEFORMAT </w:instrText>
    </w:r>
    <w:r>
      <w:fldChar w:fldCharType="separate"/>
    </w:r>
    <w:r w:rsidR="007531C8">
      <w:rPr>
        <w:noProof/>
      </w:rPr>
      <w:t>6</w:t>
    </w:r>
    <w:r>
      <w:fldChar w:fldCharType="end"/>
    </w:r>
  </w:p>
  <w:p w:rsidR="00F46DBB" w:rsidRDefault="00F46DBB" w:rsidP="00F46DB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DBB"/>
    <w:rsid w:val="00006994"/>
    <w:rsid w:val="00011EDD"/>
    <w:rsid w:val="00013973"/>
    <w:rsid w:val="000333DF"/>
    <w:rsid w:val="00036860"/>
    <w:rsid w:val="000378AB"/>
    <w:rsid w:val="00042B0B"/>
    <w:rsid w:val="000629F9"/>
    <w:rsid w:val="000701B0"/>
    <w:rsid w:val="00070F62"/>
    <w:rsid w:val="00076044"/>
    <w:rsid w:val="000820F8"/>
    <w:rsid w:val="0008691D"/>
    <w:rsid w:val="00095290"/>
    <w:rsid w:val="000A16EC"/>
    <w:rsid w:val="000B1AE0"/>
    <w:rsid w:val="000B1CCB"/>
    <w:rsid w:val="000C074D"/>
    <w:rsid w:val="000C50EA"/>
    <w:rsid w:val="000D3BE1"/>
    <w:rsid w:val="000E08DD"/>
    <w:rsid w:val="000E17DB"/>
    <w:rsid w:val="000F0A12"/>
    <w:rsid w:val="000F231D"/>
    <w:rsid w:val="000F278B"/>
    <w:rsid w:val="000F2B57"/>
    <w:rsid w:val="00103014"/>
    <w:rsid w:val="001106B5"/>
    <w:rsid w:val="00114591"/>
    <w:rsid w:val="00115411"/>
    <w:rsid w:val="001223E7"/>
    <w:rsid w:val="001230A0"/>
    <w:rsid w:val="00125D26"/>
    <w:rsid w:val="00125FF2"/>
    <w:rsid w:val="00132306"/>
    <w:rsid w:val="00142AE8"/>
    <w:rsid w:val="00145CE4"/>
    <w:rsid w:val="00157AED"/>
    <w:rsid w:val="00172CF5"/>
    <w:rsid w:val="001907A1"/>
    <w:rsid w:val="00191301"/>
    <w:rsid w:val="0019228B"/>
    <w:rsid w:val="00193C26"/>
    <w:rsid w:val="00194789"/>
    <w:rsid w:val="00197240"/>
    <w:rsid w:val="001B1D4B"/>
    <w:rsid w:val="001B2BA9"/>
    <w:rsid w:val="001C2BE7"/>
    <w:rsid w:val="001C3988"/>
    <w:rsid w:val="001D0C90"/>
    <w:rsid w:val="001D3FD4"/>
    <w:rsid w:val="001E43E6"/>
    <w:rsid w:val="001F4F8B"/>
    <w:rsid w:val="00201322"/>
    <w:rsid w:val="00203C53"/>
    <w:rsid w:val="00210E60"/>
    <w:rsid w:val="002116FF"/>
    <w:rsid w:val="00212908"/>
    <w:rsid w:val="00213676"/>
    <w:rsid w:val="00213CFF"/>
    <w:rsid w:val="00220166"/>
    <w:rsid w:val="00231207"/>
    <w:rsid w:val="00234802"/>
    <w:rsid w:val="00241AAD"/>
    <w:rsid w:val="002427E6"/>
    <w:rsid w:val="002451F9"/>
    <w:rsid w:val="002518C8"/>
    <w:rsid w:val="00255944"/>
    <w:rsid w:val="00261FC7"/>
    <w:rsid w:val="002660B0"/>
    <w:rsid w:val="00272021"/>
    <w:rsid w:val="00275600"/>
    <w:rsid w:val="00290E57"/>
    <w:rsid w:val="002914D9"/>
    <w:rsid w:val="0029229D"/>
    <w:rsid w:val="002977FC"/>
    <w:rsid w:val="002A15C4"/>
    <w:rsid w:val="002A2F18"/>
    <w:rsid w:val="002A5C0C"/>
    <w:rsid w:val="002B7F53"/>
    <w:rsid w:val="002D4307"/>
    <w:rsid w:val="002D7381"/>
    <w:rsid w:val="002D7863"/>
    <w:rsid w:val="002E215D"/>
    <w:rsid w:val="002E3A30"/>
    <w:rsid w:val="002E3CFA"/>
    <w:rsid w:val="002F5E01"/>
    <w:rsid w:val="00326E3B"/>
    <w:rsid w:val="003321A7"/>
    <w:rsid w:val="00335BC0"/>
    <w:rsid w:val="003376CB"/>
    <w:rsid w:val="00353325"/>
    <w:rsid w:val="0035698A"/>
    <w:rsid w:val="00360CB5"/>
    <w:rsid w:val="00362F0A"/>
    <w:rsid w:val="003646BC"/>
    <w:rsid w:val="00366943"/>
    <w:rsid w:val="00370174"/>
    <w:rsid w:val="003772F6"/>
    <w:rsid w:val="003809C1"/>
    <w:rsid w:val="00381FCA"/>
    <w:rsid w:val="003828C4"/>
    <w:rsid w:val="00385E41"/>
    <w:rsid w:val="00386200"/>
    <w:rsid w:val="003947E8"/>
    <w:rsid w:val="003A5E75"/>
    <w:rsid w:val="003B66B0"/>
    <w:rsid w:val="003C23FD"/>
    <w:rsid w:val="003C5892"/>
    <w:rsid w:val="003C6FD3"/>
    <w:rsid w:val="003D4453"/>
    <w:rsid w:val="00407C9E"/>
    <w:rsid w:val="0041022E"/>
    <w:rsid w:val="004149CC"/>
    <w:rsid w:val="00431A39"/>
    <w:rsid w:val="00433E76"/>
    <w:rsid w:val="0043493C"/>
    <w:rsid w:val="00443F45"/>
    <w:rsid w:val="00471DC7"/>
    <w:rsid w:val="0048104C"/>
    <w:rsid w:val="00485323"/>
    <w:rsid w:val="00487ED8"/>
    <w:rsid w:val="004911CB"/>
    <w:rsid w:val="00491918"/>
    <w:rsid w:val="004A10CD"/>
    <w:rsid w:val="004A2E7F"/>
    <w:rsid w:val="004A5A65"/>
    <w:rsid w:val="004B1485"/>
    <w:rsid w:val="004C6ECA"/>
    <w:rsid w:val="004D13C7"/>
    <w:rsid w:val="004D14D3"/>
    <w:rsid w:val="004D6C2C"/>
    <w:rsid w:val="004D7D86"/>
    <w:rsid w:val="004E1959"/>
    <w:rsid w:val="004E6202"/>
    <w:rsid w:val="004F1874"/>
    <w:rsid w:val="004F2034"/>
    <w:rsid w:val="004F43EB"/>
    <w:rsid w:val="004F585C"/>
    <w:rsid w:val="004F67D5"/>
    <w:rsid w:val="004F7F49"/>
    <w:rsid w:val="00510A23"/>
    <w:rsid w:val="0051514A"/>
    <w:rsid w:val="00515AC5"/>
    <w:rsid w:val="00520DC2"/>
    <w:rsid w:val="00525773"/>
    <w:rsid w:val="005338D5"/>
    <w:rsid w:val="00536F40"/>
    <w:rsid w:val="005470F3"/>
    <w:rsid w:val="00570997"/>
    <w:rsid w:val="00577AA8"/>
    <w:rsid w:val="005850CE"/>
    <w:rsid w:val="005A6D23"/>
    <w:rsid w:val="005C1947"/>
    <w:rsid w:val="005C1E9D"/>
    <w:rsid w:val="005E03E7"/>
    <w:rsid w:val="005E75AB"/>
    <w:rsid w:val="00601F73"/>
    <w:rsid w:val="00607E92"/>
    <w:rsid w:val="006100BD"/>
    <w:rsid w:val="00613618"/>
    <w:rsid w:val="00625D15"/>
    <w:rsid w:val="0063050E"/>
    <w:rsid w:val="00636A9B"/>
    <w:rsid w:val="00651611"/>
    <w:rsid w:val="00653AE2"/>
    <w:rsid w:val="00656345"/>
    <w:rsid w:val="006671C7"/>
    <w:rsid w:val="0068225B"/>
    <w:rsid w:val="006917CF"/>
    <w:rsid w:val="00692BD4"/>
    <w:rsid w:val="006970CC"/>
    <w:rsid w:val="006B22F3"/>
    <w:rsid w:val="006B2FD5"/>
    <w:rsid w:val="006B5C2D"/>
    <w:rsid w:val="006B6C16"/>
    <w:rsid w:val="006D6DA5"/>
    <w:rsid w:val="006D6F6C"/>
    <w:rsid w:val="006F239A"/>
    <w:rsid w:val="006F505D"/>
    <w:rsid w:val="006F7203"/>
    <w:rsid w:val="007211ED"/>
    <w:rsid w:val="00722471"/>
    <w:rsid w:val="00722AEF"/>
    <w:rsid w:val="00734E78"/>
    <w:rsid w:val="00737A6C"/>
    <w:rsid w:val="00740C56"/>
    <w:rsid w:val="00743F01"/>
    <w:rsid w:val="00744AE4"/>
    <w:rsid w:val="007531C8"/>
    <w:rsid w:val="00755ABD"/>
    <w:rsid w:val="007637CC"/>
    <w:rsid w:val="00763D60"/>
    <w:rsid w:val="007833B1"/>
    <w:rsid w:val="00786754"/>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B1D45"/>
    <w:rsid w:val="008B213D"/>
    <w:rsid w:val="008C0341"/>
    <w:rsid w:val="008C78C0"/>
    <w:rsid w:val="008D5731"/>
    <w:rsid w:val="008E1349"/>
    <w:rsid w:val="0090716F"/>
    <w:rsid w:val="00921110"/>
    <w:rsid w:val="00937A78"/>
    <w:rsid w:val="00947B1E"/>
    <w:rsid w:val="00953C08"/>
    <w:rsid w:val="00970079"/>
    <w:rsid w:val="00973C29"/>
    <w:rsid w:val="009806F4"/>
    <w:rsid w:val="0099279E"/>
    <w:rsid w:val="009A079D"/>
    <w:rsid w:val="009A630B"/>
    <w:rsid w:val="009B14F4"/>
    <w:rsid w:val="009B1B0D"/>
    <w:rsid w:val="009B1C3D"/>
    <w:rsid w:val="009B32DD"/>
    <w:rsid w:val="009B68C7"/>
    <w:rsid w:val="009C005A"/>
    <w:rsid w:val="009C64EB"/>
    <w:rsid w:val="009D4BC2"/>
    <w:rsid w:val="009D5E5F"/>
    <w:rsid w:val="009D62B4"/>
    <w:rsid w:val="009E1448"/>
    <w:rsid w:val="009E3E41"/>
    <w:rsid w:val="00A05A06"/>
    <w:rsid w:val="00A153DF"/>
    <w:rsid w:val="00A164F2"/>
    <w:rsid w:val="00A26FCF"/>
    <w:rsid w:val="00A31FA5"/>
    <w:rsid w:val="00A34F8C"/>
    <w:rsid w:val="00A359DA"/>
    <w:rsid w:val="00A37886"/>
    <w:rsid w:val="00A44754"/>
    <w:rsid w:val="00A4724E"/>
    <w:rsid w:val="00A63176"/>
    <w:rsid w:val="00A70D0C"/>
    <w:rsid w:val="00A870FE"/>
    <w:rsid w:val="00A9723C"/>
    <w:rsid w:val="00A9794C"/>
    <w:rsid w:val="00AA27A6"/>
    <w:rsid w:val="00AB0440"/>
    <w:rsid w:val="00AC3FC5"/>
    <w:rsid w:val="00AD340B"/>
    <w:rsid w:val="00AE3966"/>
    <w:rsid w:val="00AE71DA"/>
    <w:rsid w:val="00AF11C6"/>
    <w:rsid w:val="00B002D1"/>
    <w:rsid w:val="00B057F1"/>
    <w:rsid w:val="00B143A9"/>
    <w:rsid w:val="00B403BC"/>
    <w:rsid w:val="00B4569E"/>
    <w:rsid w:val="00B45879"/>
    <w:rsid w:val="00B551EB"/>
    <w:rsid w:val="00B55F3D"/>
    <w:rsid w:val="00B7260C"/>
    <w:rsid w:val="00B75F8C"/>
    <w:rsid w:val="00B84AC8"/>
    <w:rsid w:val="00B90F8C"/>
    <w:rsid w:val="00B91C0B"/>
    <w:rsid w:val="00B97E24"/>
    <w:rsid w:val="00BA0BE6"/>
    <w:rsid w:val="00BA100B"/>
    <w:rsid w:val="00BA2122"/>
    <w:rsid w:val="00BA2F3A"/>
    <w:rsid w:val="00BF47F9"/>
    <w:rsid w:val="00BF63E0"/>
    <w:rsid w:val="00C07688"/>
    <w:rsid w:val="00C260AB"/>
    <w:rsid w:val="00C32933"/>
    <w:rsid w:val="00C3314D"/>
    <w:rsid w:val="00C33AA5"/>
    <w:rsid w:val="00C478E1"/>
    <w:rsid w:val="00C75246"/>
    <w:rsid w:val="00C80B0B"/>
    <w:rsid w:val="00C91EDF"/>
    <w:rsid w:val="00C97447"/>
    <w:rsid w:val="00CB3356"/>
    <w:rsid w:val="00CC6622"/>
    <w:rsid w:val="00D05F32"/>
    <w:rsid w:val="00D20F5D"/>
    <w:rsid w:val="00D33134"/>
    <w:rsid w:val="00D376ED"/>
    <w:rsid w:val="00D40E4F"/>
    <w:rsid w:val="00D638D0"/>
    <w:rsid w:val="00D67A0A"/>
    <w:rsid w:val="00D734B9"/>
    <w:rsid w:val="00D762A6"/>
    <w:rsid w:val="00D762BF"/>
    <w:rsid w:val="00D84564"/>
    <w:rsid w:val="00D9145C"/>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62272"/>
    <w:rsid w:val="00E708C9"/>
    <w:rsid w:val="00E74E35"/>
    <w:rsid w:val="00E75B93"/>
    <w:rsid w:val="00E802DE"/>
    <w:rsid w:val="00E818C0"/>
    <w:rsid w:val="00E86D2A"/>
    <w:rsid w:val="00E9123C"/>
    <w:rsid w:val="00E95800"/>
    <w:rsid w:val="00EA09E4"/>
    <w:rsid w:val="00EB1C90"/>
    <w:rsid w:val="00EB4914"/>
    <w:rsid w:val="00EC1EF8"/>
    <w:rsid w:val="00EC2547"/>
    <w:rsid w:val="00EC2E0D"/>
    <w:rsid w:val="00EC4079"/>
    <w:rsid w:val="00EE7D05"/>
    <w:rsid w:val="00EF17BC"/>
    <w:rsid w:val="00EF3B9C"/>
    <w:rsid w:val="00EF6172"/>
    <w:rsid w:val="00F04CAD"/>
    <w:rsid w:val="00F11982"/>
    <w:rsid w:val="00F2634D"/>
    <w:rsid w:val="00F2664A"/>
    <w:rsid w:val="00F332CE"/>
    <w:rsid w:val="00F35009"/>
    <w:rsid w:val="00F4083E"/>
    <w:rsid w:val="00F45BA7"/>
    <w:rsid w:val="00F46DBB"/>
    <w:rsid w:val="00F51DD4"/>
    <w:rsid w:val="00F64D56"/>
    <w:rsid w:val="00F73621"/>
    <w:rsid w:val="00F8264B"/>
    <w:rsid w:val="00F82B11"/>
    <w:rsid w:val="00F873F0"/>
    <w:rsid w:val="00F96770"/>
    <w:rsid w:val="00FA6D2B"/>
    <w:rsid w:val="00FB0A06"/>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D95E35B-7C21-42F2-BBEB-CC0E6A5A7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24E"/>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C478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78E1"/>
    <w:rPr>
      <w:rFonts w:ascii="Segoe UI" w:hAnsi="Segoe UI" w:cs="Segoe UI"/>
      <w:sz w:val="18"/>
      <w:szCs w:val="18"/>
    </w:rPr>
  </w:style>
  <w:style w:type="character" w:styleId="CommentReference">
    <w:name w:val="annotation reference"/>
    <w:basedOn w:val="DefaultParagraphFont"/>
    <w:semiHidden/>
    <w:unhideWhenUsed/>
    <w:rsid w:val="00740C56"/>
    <w:rPr>
      <w:sz w:val="16"/>
      <w:szCs w:val="16"/>
    </w:rPr>
  </w:style>
  <w:style w:type="paragraph" w:styleId="CommentText">
    <w:name w:val="annotation text"/>
    <w:basedOn w:val="Normal"/>
    <w:link w:val="CommentTextChar"/>
    <w:semiHidden/>
    <w:unhideWhenUsed/>
    <w:rsid w:val="00740C56"/>
    <w:pPr>
      <w:spacing w:line="240" w:lineRule="auto"/>
    </w:pPr>
    <w:rPr>
      <w:sz w:val="20"/>
      <w:szCs w:val="20"/>
    </w:rPr>
  </w:style>
  <w:style w:type="character" w:customStyle="1" w:styleId="CommentTextChar">
    <w:name w:val="Comment Text Char"/>
    <w:basedOn w:val="DefaultParagraphFont"/>
    <w:link w:val="CommentText"/>
    <w:semiHidden/>
    <w:rsid w:val="00740C56"/>
  </w:style>
  <w:style w:type="paragraph" w:styleId="CommentSubject">
    <w:name w:val="annotation subject"/>
    <w:basedOn w:val="CommentText"/>
    <w:next w:val="CommentText"/>
    <w:link w:val="CommentSubjectChar"/>
    <w:semiHidden/>
    <w:unhideWhenUsed/>
    <w:rsid w:val="00740C56"/>
    <w:rPr>
      <w:b/>
      <w:bCs/>
    </w:rPr>
  </w:style>
  <w:style w:type="character" w:customStyle="1" w:styleId="CommentSubjectChar">
    <w:name w:val="Comment Subject Char"/>
    <w:basedOn w:val="CommentTextChar"/>
    <w:link w:val="CommentSubject"/>
    <w:semiHidden/>
    <w:rsid w:val="00740C56"/>
    <w:rPr>
      <w:b/>
      <w:bCs/>
    </w:rPr>
  </w:style>
  <w:style w:type="paragraph" w:styleId="ListParagraph">
    <w:name w:val="List Paragraph"/>
    <w:basedOn w:val="Normal"/>
    <w:uiPriority w:val="34"/>
    <w:qFormat/>
    <w:rsid w:val="004D13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6</Pages>
  <Words>2273</Words>
  <Characters>13105</Characters>
  <Application>Microsoft Office Word</Application>
  <DocSecurity>0</DocSecurity>
  <Lines>328</Lines>
  <Paragraphs>139</Paragraphs>
  <ScaleCrop>false</ScaleCrop>
  <HeadingPairs>
    <vt:vector size="2" baseType="variant">
      <vt:variant>
        <vt:lpstr>Title</vt:lpstr>
      </vt:variant>
      <vt:variant>
        <vt:i4>1</vt:i4>
      </vt:variant>
    </vt:vector>
  </HeadingPairs>
  <TitlesOfParts>
    <vt:vector size="1" baseType="lpstr">
      <vt:lpstr>A4 1R FISCAL ESTIMATE</vt:lpstr>
    </vt:vector>
  </TitlesOfParts>
  <Manager>Jordan DiGiovanni; R225</Manager>
  <Company>Office of Legislative Services</Company>
  <LinksUpToDate>false</LinksUpToDate>
  <CharactersWithSpaces>15339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 1R FISCAL ESTIMATE</dc:title>
  <dc:creator>Assemblywoman PINTOR MARIN, Assemblyman COUGHLIN</dc:creator>
  <cp:keywords>A4|6|RF |282|0|243|!|0|</cp:keywords>
  <dc:description>Sent to Sponsor 12/21 BPU 12/24</dc:description>
  <cp:lastModifiedBy>Siracusa, Nicole</cp:lastModifiedBy>
  <cp:revision>2</cp:revision>
  <cp:lastPrinted>2020-12-21T15:25:00Z</cp:lastPrinted>
  <dcterms:created xsi:type="dcterms:W3CDTF">2020-12-24T17:04:00Z</dcterms:created>
  <dcterms:modified xsi:type="dcterms:W3CDTF">2020-12-24T17:04:00Z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