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16D5" w:rsidRDefault="005A16D5" w:rsidP="005A16D5">
      <w:pPr>
        <w:pStyle w:val="bpuBill"/>
      </w:pPr>
      <w:bookmarkStart w:id="0" w:name="bpuFrontPg"/>
      <w:bookmarkStart w:id="1" w:name="_GoBack"/>
      <w:bookmarkEnd w:id="0"/>
      <w:bookmarkEnd w:id="1"/>
      <w:r>
        <w:t xml:space="preserve">ASSEMBLY, No. 523 </w:t>
      </w:r>
    </w:p>
    <w:p w:rsidR="005A16D5" w:rsidRPr="005A16D5" w:rsidRDefault="005A16D5" w:rsidP="005A16D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8016207" r:id="rId8"/>
        </w:object>
      </w:r>
    </w:p>
    <w:p w:rsidR="005A16D5" w:rsidRDefault="005A16D5" w:rsidP="005A16D5">
      <w:pPr>
        <w:pStyle w:val="bpuState"/>
      </w:pPr>
      <w:r>
        <w:t>STATE OF NEW JERSEY</w:t>
      </w:r>
    </w:p>
    <w:p w:rsidR="005A16D5" w:rsidRDefault="005A16D5" w:rsidP="005A16D5">
      <w:pPr>
        <w:pStyle w:val="bpuLegislature"/>
      </w:pPr>
      <w:r>
        <w:t>219th LEGISLATURE</w:t>
      </w:r>
    </w:p>
    <w:p w:rsidR="005A16D5" w:rsidRDefault="005A16D5" w:rsidP="005A16D5">
      <w:pPr>
        <w:pStyle w:val="bpuWpGraphic"/>
      </w:pPr>
      <w:r>
        <w:object w:dxaOrig="8985" w:dyaOrig="255">
          <v:shape id="_x0000_i1026" type="#_x0000_t75" style="width:6in;height:11.8pt" o:ole="">
            <v:imagedata r:id="rId7" o:title=""/>
          </v:shape>
          <o:OLEObject Type="Embed" ProgID="WPWin6.1" ShapeID="_x0000_i1026" DrawAspect="Content" ObjectID="_1638016208" r:id="rId9"/>
        </w:object>
      </w:r>
      <w:r>
        <w:t xml:space="preserve">  </w:t>
      </w:r>
    </w:p>
    <w:p w:rsidR="005A16D5" w:rsidRDefault="005A16D5" w:rsidP="005A16D5">
      <w:pPr>
        <w:pStyle w:val="bpuIntro"/>
      </w:pPr>
      <w:r>
        <w:t>PRE-FILED FOR INTRODUCTION IN THE 2020 SESSION</w:t>
      </w:r>
    </w:p>
    <w:p w:rsidR="005A16D5" w:rsidRDefault="005A16D5" w:rsidP="005A16D5">
      <w:pPr>
        <w:pStyle w:val="bpuIntro"/>
      </w:pPr>
    </w:p>
    <w:p w:rsidR="005A16D5" w:rsidRDefault="005A16D5" w:rsidP="005A16D5">
      <w:pPr>
        <w:pStyle w:val="bpuIntro"/>
        <w:sectPr w:rsidR="005A16D5" w:rsidSect="005A16D5">
          <w:headerReference w:type="even" r:id="rId10"/>
          <w:headerReference w:type="default" r:id="rId11"/>
          <w:pgSz w:w="12240" w:h="20160" w:code="5"/>
          <w:pgMar w:top="2160" w:right="1440" w:bottom="1440" w:left="1440" w:header="720" w:footer="720" w:gutter="0"/>
          <w:pgNumType w:start="1"/>
          <w:cols w:space="720"/>
          <w:docGrid w:linePitch="360"/>
        </w:sectPr>
      </w:pPr>
    </w:p>
    <w:p w:rsidR="005A16D5" w:rsidRDefault="005A16D5" w:rsidP="005A16D5">
      <w:pPr>
        <w:pStyle w:val="bpuIntro"/>
      </w:pPr>
    </w:p>
    <w:p w:rsidR="005A16D5" w:rsidRDefault="005A16D5" w:rsidP="005A16D5">
      <w:pPr>
        <w:pStyle w:val="bpuSponsor"/>
      </w:pPr>
      <w:r>
        <w:t>Sponsored by:</w:t>
      </w:r>
    </w:p>
    <w:p w:rsidR="005A16D5" w:rsidRDefault="005A16D5" w:rsidP="005A16D5">
      <w:pPr>
        <w:pStyle w:val="bpuSponsor"/>
      </w:pPr>
      <w:r>
        <w:t>Assemblywoman  ANGELICA M. JIMENEZ</w:t>
      </w:r>
    </w:p>
    <w:p w:rsidR="005A16D5" w:rsidRDefault="005A16D5" w:rsidP="005A16D5">
      <w:pPr>
        <w:pStyle w:val="bpuSponsor"/>
      </w:pPr>
      <w:r>
        <w:t>District 32 (Bergen and Hudson)</w:t>
      </w:r>
    </w:p>
    <w:p w:rsidR="005A16D5" w:rsidRDefault="005A16D5" w:rsidP="005A16D5">
      <w:pPr>
        <w:pStyle w:val="bpuSponsor"/>
      </w:pPr>
    </w:p>
    <w:p w:rsidR="005A16D5" w:rsidRDefault="005A16D5" w:rsidP="005A16D5">
      <w:pPr>
        <w:pStyle w:val="bpuSponsor"/>
      </w:pPr>
    </w:p>
    <w:p w:rsidR="005A16D5" w:rsidRDefault="005A16D5" w:rsidP="005A16D5">
      <w:pPr>
        <w:pStyle w:val="bpuSponsor"/>
      </w:pPr>
    </w:p>
    <w:p w:rsidR="005A16D5" w:rsidRDefault="005A16D5" w:rsidP="005A16D5">
      <w:pPr>
        <w:pStyle w:val="bpuSponsor"/>
      </w:pPr>
    </w:p>
    <w:p w:rsidR="005A16D5" w:rsidRDefault="005A16D5" w:rsidP="005A16D5">
      <w:pPr>
        <w:pStyle w:val="bpuSponsor"/>
      </w:pPr>
      <w:r>
        <w:t>SYNOPSIS</w:t>
      </w:r>
    </w:p>
    <w:p w:rsidR="005A16D5" w:rsidRDefault="005A16D5" w:rsidP="005A16D5">
      <w:pPr>
        <w:pStyle w:val="bpuNormText"/>
      </w:pPr>
      <w:r>
        <w:tab/>
        <w:t xml:space="preserve">Requires clinical laboratory that provides services for accountable care organization to establish clinical laboratory testing advisory board. </w:t>
      </w:r>
    </w:p>
    <w:p w:rsidR="005A16D5" w:rsidRDefault="005A16D5" w:rsidP="005A16D5">
      <w:pPr>
        <w:pStyle w:val="bpuNormText"/>
      </w:pPr>
    </w:p>
    <w:p w:rsidR="005A16D5" w:rsidRDefault="005A16D5" w:rsidP="005A16D5">
      <w:pPr>
        <w:pStyle w:val="bpuSponsor"/>
      </w:pPr>
      <w:r>
        <w:t xml:space="preserve">CURRENT VERSION OF TEXT </w:t>
      </w:r>
    </w:p>
    <w:p w:rsidR="005A16D5" w:rsidRDefault="005A16D5" w:rsidP="005A16D5">
      <w:pPr>
        <w:pStyle w:val="bpuNormText"/>
      </w:pPr>
      <w:r>
        <w:tab/>
        <w:t>Introduced Pending Technical Review by Legislative Counsel.</w:t>
      </w:r>
    </w:p>
    <w:p w:rsidR="005A16D5" w:rsidRDefault="005A16D5" w:rsidP="005A16D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A16D5" w:rsidRDefault="005A16D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A16D5" w:rsidSect="005A16D5">
          <w:type w:val="continuous"/>
          <w:pgSz w:w="12240" w:h="20160" w:code="5"/>
          <w:pgMar w:top="2160" w:right="2275" w:bottom="1440" w:left="2275" w:header="72" w:footer="720" w:gutter="0"/>
          <w:pgNumType w:start="1"/>
          <w:cols w:space="720"/>
          <w:docGrid w:linePitch="360"/>
        </w:sectPr>
      </w:pPr>
    </w:p>
    <w:p w:rsidR="00AA38EC" w:rsidRPr="00677316" w:rsidRDefault="00AA38EC" w:rsidP="00AA38EC">
      <w:pPr>
        <w:pStyle w:val="HangingAnAct"/>
        <w:rPr>
          <w:rStyle w:val="HangingAnActChar"/>
        </w:rPr>
      </w:pPr>
      <w:r w:rsidRPr="00AA38EC">
        <w:rPr>
          <w:rStyle w:val="BillHead"/>
        </w:rPr>
        <w:lastRenderedPageBreak/>
        <w:t>An Act</w:t>
      </w:r>
      <w:r w:rsidRPr="006B7FA7">
        <w:rPr>
          <w:rStyle w:val="HangingAnActChar"/>
        </w:rPr>
        <w:t xml:space="preserve"> </w:t>
      </w:r>
      <w:r>
        <w:rPr>
          <w:rStyle w:val="HangingAnActChar"/>
        </w:rPr>
        <w:t>concerning clinical laboratories and amending and supplementing P.L.1975, c.166.</w:t>
      </w:r>
    </w:p>
    <w:p w:rsidR="00AA38EC" w:rsidRPr="00D71D68" w:rsidRDefault="00AA38EC" w:rsidP="00AA38EC"/>
    <w:p w:rsidR="00AA38EC" w:rsidRPr="00AA7880" w:rsidRDefault="00AA38EC" w:rsidP="00AA38EC">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AA38EC" w:rsidRPr="00D71D68" w:rsidRDefault="00AA38EC" w:rsidP="00AA38EC"/>
    <w:p w:rsidR="00AA38EC" w:rsidRDefault="00AA38EC" w:rsidP="00AA38EC">
      <w:r>
        <w:tab/>
        <w:t>1.</w:t>
      </w:r>
      <w:r>
        <w:tab/>
        <w:t>Section 2 of P.L.1975, c.166 (C.45:9-42.27) is amended to read as follows:</w:t>
      </w:r>
    </w:p>
    <w:p w:rsidR="00AA38EC" w:rsidRDefault="00AA38EC" w:rsidP="00AA38EC">
      <w:r>
        <w:tab/>
        <w:t>2.</w:t>
      </w:r>
      <w:r>
        <w:tab/>
        <w:t xml:space="preserve">As used in </w:t>
      </w:r>
      <w:r w:rsidRPr="00D21FCA">
        <w:rPr>
          <w:rFonts w:ascii="Albertus Extra Bold" w:hAnsi="Albertus Extra Bold"/>
        </w:rPr>
        <w:t>[</w:t>
      </w:r>
      <w:r w:rsidRPr="00D21FCA">
        <w:t>this act</w:t>
      </w:r>
      <w:r w:rsidRPr="00D21FCA">
        <w:rPr>
          <w:rFonts w:ascii="Albertus Extra Bold" w:hAnsi="Albertus Extra Bold"/>
        </w:rPr>
        <w:t>]</w:t>
      </w:r>
      <w:r w:rsidRPr="00D21FCA">
        <w:t xml:space="preserve"> </w:t>
      </w:r>
      <w:r w:rsidRPr="00114A3B">
        <w:rPr>
          <w:u w:val="single"/>
        </w:rPr>
        <w:t>P.L.1975, c.166 (C.45:9-42.2</w:t>
      </w:r>
      <w:r>
        <w:rPr>
          <w:u w:val="single"/>
        </w:rPr>
        <w:t>6 et seq.</w:t>
      </w:r>
      <w:r w:rsidRPr="00114A3B">
        <w:rPr>
          <w:u w:val="single"/>
        </w:rPr>
        <w:t>)</w:t>
      </w:r>
      <w:r w:rsidR="001B3F75">
        <w:rPr>
          <w:u w:val="single"/>
        </w:rPr>
        <w:t xml:space="preserve"> and (P.L.      , c.</w:t>
      </w:r>
      <w:r>
        <w:rPr>
          <w:u w:val="single"/>
        </w:rPr>
        <w:t xml:space="preserve">   ) (C.   </w:t>
      </w:r>
      <w:r w:rsidR="001B3F75">
        <w:rPr>
          <w:u w:val="single"/>
        </w:rPr>
        <w:t xml:space="preserve">  </w:t>
      </w:r>
      <w:r>
        <w:rPr>
          <w:u w:val="single"/>
        </w:rPr>
        <w:t xml:space="preserve">  ) (pending before the Legislature as this bill)</w:t>
      </w:r>
      <w:r w:rsidRPr="00D21FCA">
        <w:t>:</w:t>
      </w:r>
    </w:p>
    <w:p w:rsidR="00AA38EC" w:rsidRDefault="00AA38EC" w:rsidP="00AA38EC">
      <w:r>
        <w:tab/>
      </w:r>
      <w:r w:rsidRPr="00F15384">
        <w:rPr>
          <w:rFonts w:ascii="Albertus Extra Bold" w:hAnsi="Albertus Extra Bold"/>
          <w:b/>
        </w:rPr>
        <w:t>[</w:t>
      </w:r>
      <w:r>
        <w:t>a.</w:t>
      </w:r>
      <w:r w:rsidRPr="00F15384">
        <w:rPr>
          <w:rFonts w:ascii="Albertus Extra Bold" w:hAnsi="Albertus Extra Bold"/>
          <w:b/>
        </w:rPr>
        <w:t>]</w:t>
      </w:r>
      <w:r>
        <w:t xml:space="preserve"> </w:t>
      </w:r>
      <w:r w:rsidR="005A16D5">
        <w:t xml:space="preserve"> </w:t>
      </w:r>
      <w:r>
        <w:t xml:space="preserve">"Clinical laboratory" means any facility used for the performance of chemical, bacteriologic, </w:t>
      </w:r>
      <w:proofErr w:type="spellStart"/>
      <w:r>
        <w:t>virologic</w:t>
      </w:r>
      <w:proofErr w:type="spellEnd"/>
      <w:r>
        <w:t xml:space="preserve">, </w:t>
      </w:r>
      <w:proofErr w:type="spellStart"/>
      <w:r>
        <w:t>parasitologic</w:t>
      </w:r>
      <w:proofErr w:type="spellEnd"/>
      <w:r>
        <w:t xml:space="preserve">, serologic, hematologic, </w:t>
      </w:r>
      <w:proofErr w:type="spellStart"/>
      <w:r>
        <w:t>immunohematologic</w:t>
      </w:r>
      <w:proofErr w:type="spellEnd"/>
      <w:r>
        <w:t xml:space="preserve">, biophysical, </w:t>
      </w:r>
      <w:proofErr w:type="spellStart"/>
      <w:r>
        <w:t>cytologic</w:t>
      </w:r>
      <w:proofErr w:type="spellEnd"/>
      <w:r>
        <w:rPr>
          <w:u w:val="single"/>
        </w:rPr>
        <w:t>,</w:t>
      </w:r>
      <w:r>
        <w:t xml:space="preserve"> or other examinations of materials derived from the human body for the purpose of yielding information for the diagnosis, prevention</w:t>
      </w:r>
      <w:r>
        <w:rPr>
          <w:u w:val="single"/>
        </w:rPr>
        <w:t>,</w:t>
      </w:r>
      <w:r>
        <w:t xml:space="preserve"> or treatment of disease or the assessment of medical condition.  Anatomic pathology is not considered to be within the scope of this definition.  Any facility used for the collection, processing</w:t>
      </w:r>
      <w:r>
        <w:rPr>
          <w:u w:val="single"/>
        </w:rPr>
        <w:t>,</w:t>
      </w:r>
      <w:r>
        <w:t xml:space="preserve"> and transmission of specimens to another facility for the performance of clinical tests falls within the purview of </w:t>
      </w:r>
      <w:r w:rsidRPr="003C2000">
        <w:rPr>
          <w:rFonts w:ascii="Albertus Extra Bold" w:hAnsi="Albertus Extra Bold"/>
          <w:b/>
        </w:rPr>
        <w:t>[</w:t>
      </w:r>
      <w:r>
        <w:t>this act</w:t>
      </w:r>
      <w:r w:rsidRPr="003C2000">
        <w:rPr>
          <w:rFonts w:ascii="Albertus Extra Bold" w:hAnsi="Albertus Extra Bold"/>
          <w:b/>
        </w:rPr>
        <w:t>]</w:t>
      </w:r>
      <w:r>
        <w:t xml:space="preserve"> </w:t>
      </w:r>
      <w:r>
        <w:rPr>
          <w:u w:val="single"/>
        </w:rPr>
        <w:t>P.L.1975, c.166 (C.45:9-42.26 et seq.)</w:t>
      </w:r>
      <w:r>
        <w:t>.</w:t>
      </w:r>
    </w:p>
    <w:p w:rsidR="00AA38EC" w:rsidRDefault="00AA38EC" w:rsidP="00AA38EC">
      <w:r>
        <w:tab/>
      </w:r>
      <w:r w:rsidRPr="00F15384">
        <w:rPr>
          <w:rFonts w:ascii="Albertus Extra Bold" w:hAnsi="Albertus Extra Bold"/>
          <w:b/>
        </w:rPr>
        <w:t>[</w:t>
      </w:r>
      <w:r>
        <w:t>b.</w:t>
      </w:r>
      <w:r w:rsidRPr="00F15384">
        <w:rPr>
          <w:rFonts w:ascii="Albertus Extra Bold" w:hAnsi="Albertus Extra Bold"/>
          <w:b/>
        </w:rPr>
        <w:t>]</w:t>
      </w:r>
      <w:r>
        <w:t xml:space="preserve"> </w:t>
      </w:r>
      <w:r w:rsidR="005A16D5">
        <w:t xml:space="preserve"> </w:t>
      </w:r>
      <w:r>
        <w:t xml:space="preserve">"Department" means the </w:t>
      </w:r>
      <w:r w:rsidRPr="00F15384">
        <w:rPr>
          <w:rFonts w:ascii="Albertus Extra Bold" w:hAnsi="Albertus Extra Bold"/>
          <w:b/>
        </w:rPr>
        <w:t>[</w:t>
      </w:r>
      <w:r>
        <w:t>State</w:t>
      </w:r>
      <w:r w:rsidRPr="00F15384">
        <w:rPr>
          <w:rFonts w:ascii="Albertus Extra Bold" w:hAnsi="Albertus Extra Bold"/>
          <w:b/>
        </w:rPr>
        <w:t>]</w:t>
      </w:r>
      <w:r>
        <w:t xml:space="preserve"> Department of Health.</w:t>
      </w:r>
    </w:p>
    <w:p w:rsidR="00AA38EC" w:rsidRDefault="00AA38EC" w:rsidP="00AA38EC">
      <w:r>
        <w:tab/>
      </w:r>
      <w:r w:rsidRPr="00F15384">
        <w:rPr>
          <w:rFonts w:ascii="Albertus Extra Bold" w:hAnsi="Albertus Extra Bold"/>
          <w:b/>
        </w:rPr>
        <w:t>[</w:t>
      </w:r>
      <w:r>
        <w:t>c.</w:t>
      </w:r>
      <w:r w:rsidRPr="00F15384">
        <w:rPr>
          <w:rFonts w:ascii="Albertus Extra Bold" w:hAnsi="Albertus Extra Bold"/>
          <w:b/>
        </w:rPr>
        <w:t>]</w:t>
      </w:r>
      <w:r>
        <w:t xml:space="preserve"> </w:t>
      </w:r>
      <w:r w:rsidR="005A16D5">
        <w:t xml:space="preserve"> </w:t>
      </w:r>
      <w:r>
        <w:t xml:space="preserve">"Commissioner" means the </w:t>
      </w:r>
      <w:r w:rsidRPr="00F15384">
        <w:rPr>
          <w:rFonts w:ascii="Albertus Extra Bold" w:hAnsi="Albertus Extra Bold"/>
          <w:b/>
        </w:rPr>
        <w:t>[</w:t>
      </w:r>
      <w:r>
        <w:t>State</w:t>
      </w:r>
      <w:r w:rsidRPr="00F15384">
        <w:rPr>
          <w:rFonts w:ascii="Albertus Extra Bold" w:hAnsi="Albertus Extra Bold"/>
          <w:b/>
        </w:rPr>
        <w:t>]</w:t>
      </w:r>
      <w:r>
        <w:t xml:space="preserve"> Commissioner of Health or </w:t>
      </w:r>
      <w:r w:rsidRPr="00F15384">
        <w:rPr>
          <w:rFonts w:ascii="Albertus Extra Bold" w:hAnsi="Albertus Extra Bold"/>
          <w:b/>
        </w:rPr>
        <w:t>[</w:t>
      </w:r>
      <w:r>
        <w:t>his</w:t>
      </w:r>
      <w:r w:rsidRPr="00F15384">
        <w:rPr>
          <w:rFonts w:ascii="Albertus Extra Bold" w:hAnsi="Albertus Extra Bold"/>
          <w:b/>
        </w:rPr>
        <w:t>]</w:t>
      </w:r>
      <w:r>
        <w:t xml:space="preserve"> </w:t>
      </w:r>
      <w:r>
        <w:rPr>
          <w:u w:val="single"/>
        </w:rPr>
        <w:t>the commissioner’s</w:t>
      </w:r>
      <w:r>
        <w:t xml:space="preserve"> duly authorized agent.</w:t>
      </w:r>
    </w:p>
    <w:p w:rsidR="00AA38EC" w:rsidRDefault="00AA38EC" w:rsidP="00AA38EC">
      <w:r>
        <w:tab/>
      </w:r>
      <w:r w:rsidRPr="00F15384">
        <w:rPr>
          <w:rFonts w:ascii="Albertus Extra Bold" w:hAnsi="Albertus Extra Bold"/>
          <w:b/>
        </w:rPr>
        <w:t>[</w:t>
      </w:r>
      <w:r>
        <w:t>d.</w:t>
      </w:r>
      <w:r w:rsidRPr="00F15384">
        <w:rPr>
          <w:rFonts w:ascii="Albertus Extra Bold" w:hAnsi="Albertus Extra Bold"/>
          <w:b/>
        </w:rPr>
        <w:t>]</w:t>
      </w:r>
      <w:r>
        <w:t xml:space="preserve"> </w:t>
      </w:r>
      <w:r w:rsidR="005A16D5">
        <w:t xml:space="preserve"> </w:t>
      </w:r>
      <w:r>
        <w:t xml:space="preserve">"Clinical laboratory owner" means a person or agency in whom is vested the rights of control, possession, and dominion of a clinical laboratory and for the purposes of </w:t>
      </w:r>
      <w:r w:rsidRPr="003C2000">
        <w:rPr>
          <w:rFonts w:ascii="Albertus Extra Bold" w:hAnsi="Albertus Extra Bold"/>
          <w:b/>
        </w:rPr>
        <w:t>[</w:t>
      </w:r>
      <w:r>
        <w:t>this act</w:t>
      </w:r>
      <w:r w:rsidRPr="003C2000">
        <w:rPr>
          <w:rFonts w:ascii="Albertus Extra Bold" w:hAnsi="Albertus Extra Bold"/>
          <w:b/>
        </w:rPr>
        <w:t>]</w:t>
      </w:r>
      <w:r>
        <w:t xml:space="preserve"> </w:t>
      </w:r>
      <w:r>
        <w:rPr>
          <w:u w:val="single"/>
        </w:rPr>
        <w:t>P.L.1975, c.166 (C.45:9-42.26 et seq.)</w:t>
      </w:r>
      <w:r>
        <w:t xml:space="preserve"> shall include a county, municipality, or any other owner of an institution operating a clinical laboratory.</w:t>
      </w:r>
    </w:p>
    <w:p w:rsidR="00AA38EC" w:rsidRDefault="00AA38EC" w:rsidP="00AA38EC">
      <w:r>
        <w:tab/>
      </w:r>
      <w:r w:rsidRPr="00F15384">
        <w:rPr>
          <w:rFonts w:ascii="Albertus Extra Bold" w:hAnsi="Albertus Extra Bold"/>
          <w:b/>
        </w:rPr>
        <w:t>[</w:t>
      </w:r>
      <w:r>
        <w:t>e.</w:t>
      </w:r>
      <w:r w:rsidRPr="00F15384">
        <w:rPr>
          <w:rFonts w:ascii="Albertus Extra Bold" w:hAnsi="Albertus Extra Bold"/>
          <w:b/>
        </w:rPr>
        <w:t>]</w:t>
      </w:r>
      <w:r>
        <w:t xml:space="preserve"> </w:t>
      </w:r>
      <w:r w:rsidR="005A16D5">
        <w:t xml:space="preserve"> </w:t>
      </w:r>
      <w:r>
        <w:t xml:space="preserve">"Clinical laboratory director" means a person who is responsible for the administration of the technical and scientific operation of a clinical laboratory, including, but not limited to, supervision of procedures for testing and reporting of results.  Nothing in </w:t>
      </w:r>
      <w:r w:rsidRPr="003C2000">
        <w:rPr>
          <w:rFonts w:ascii="Albertus Extra Bold" w:hAnsi="Albertus Extra Bold"/>
          <w:b/>
        </w:rPr>
        <w:t>[</w:t>
      </w:r>
      <w:r>
        <w:t>this act</w:t>
      </w:r>
      <w:r w:rsidRPr="003C2000">
        <w:rPr>
          <w:rFonts w:ascii="Albertus Extra Bold" w:hAnsi="Albertus Extra Bold"/>
          <w:b/>
        </w:rPr>
        <w:t>]</w:t>
      </w:r>
      <w:r>
        <w:t xml:space="preserve"> </w:t>
      </w:r>
      <w:r>
        <w:rPr>
          <w:u w:val="single"/>
        </w:rPr>
        <w:t>P.L.1975, c.166 (C.45:9-42.26 et seq.)</w:t>
      </w:r>
      <w:r>
        <w:t xml:space="preserve"> shall be deemed to exempt the director of a clinical laboratory from the licensure requirements of P.L.1953, c. 420 (C. 45:9-42.1 et seq.), where </w:t>
      </w:r>
      <w:r w:rsidRPr="00F15384">
        <w:rPr>
          <w:rFonts w:ascii="Albertus Extra Bold" w:hAnsi="Albertus Extra Bold"/>
          <w:b/>
        </w:rPr>
        <w:t>[</w:t>
      </w:r>
      <w:r>
        <w:t>such</w:t>
      </w:r>
      <w:r w:rsidRPr="00F15384">
        <w:rPr>
          <w:rFonts w:ascii="Albertus Extra Bold" w:hAnsi="Albertus Extra Bold"/>
          <w:b/>
        </w:rPr>
        <w:t>]</w:t>
      </w:r>
      <w:r>
        <w:t xml:space="preserve"> </w:t>
      </w:r>
      <w:r>
        <w:rPr>
          <w:u w:val="single"/>
        </w:rPr>
        <w:t>those</w:t>
      </w:r>
      <w:r>
        <w:t xml:space="preserve"> requirements would otherwise be applicable.</w:t>
      </w:r>
    </w:p>
    <w:p w:rsidR="00AA38EC" w:rsidRDefault="00AA38EC" w:rsidP="00AA38EC">
      <w:r>
        <w:tab/>
      </w:r>
      <w:r w:rsidRPr="00F15384">
        <w:rPr>
          <w:rFonts w:ascii="Albertus Extra Bold" w:hAnsi="Albertus Extra Bold"/>
          <w:b/>
        </w:rPr>
        <w:t>[</w:t>
      </w:r>
      <w:r>
        <w:t>f.</w:t>
      </w:r>
      <w:r w:rsidRPr="00F15384">
        <w:rPr>
          <w:rFonts w:ascii="Albertus Extra Bold" w:hAnsi="Albertus Extra Bold"/>
          <w:b/>
        </w:rPr>
        <w:t>]</w:t>
      </w:r>
      <w:r>
        <w:t xml:space="preserve"> "Clinical</w:t>
      </w:r>
      <w:r w:rsidR="001B3F75">
        <w:t xml:space="preserve"> laboratory evaluation program"</w:t>
      </w:r>
      <w:r>
        <w:t xml:space="preserve"> means a program of evaluating the proficiency of clinical laboratories by the department.</w:t>
      </w:r>
    </w:p>
    <w:p w:rsidR="00AA38EC" w:rsidRPr="00ED1C86" w:rsidRDefault="00AA38EC" w:rsidP="00AA38EC">
      <w:pPr>
        <w:rPr>
          <w:u w:val="single"/>
        </w:rPr>
      </w:pPr>
      <w:r>
        <w:tab/>
      </w:r>
      <w:r>
        <w:rPr>
          <w:u w:val="single"/>
        </w:rPr>
        <w:t>“Clinical laboratory testing” means testing performed by a clinical laboratory pursuant to P.L.1975, c.166 (C.45:9-42.26 et seq.) or otherwise subject to 42 U.S.C. s.263a.</w:t>
      </w:r>
    </w:p>
    <w:p w:rsidR="005A16D5" w:rsidRDefault="00AA38EC" w:rsidP="005A16D5">
      <w:r>
        <w:tab/>
      </w:r>
      <w:r w:rsidRPr="00F15384">
        <w:rPr>
          <w:rFonts w:ascii="Albertus Extra Bold" w:hAnsi="Albertus Extra Bold"/>
          <w:b/>
        </w:rPr>
        <w:t>[</w:t>
      </w:r>
      <w:r>
        <w:t>g.</w:t>
      </w:r>
      <w:r w:rsidRPr="00F15384">
        <w:rPr>
          <w:rFonts w:ascii="Albertus Extra Bold" w:hAnsi="Albertus Extra Bold"/>
          <w:b/>
        </w:rPr>
        <w:t>]</w:t>
      </w:r>
      <w:r>
        <w:rPr>
          <w:rFonts w:ascii="Albertus Extra Bold" w:hAnsi="Albertus Extra Bold"/>
          <w:b/>
        </w:rPr>
        <w:t xml:space="preserve"> </w:t>
      </w:r>
      <w:r>
        <w:t>"Anatomic pathology" means the gross or microscopic</w:t>
      </w:r>
      <w:r w:rsidR="005A16D5">
        <w:br w:type="page"/>
      </w:r>
    </w:p>
    <w:p w:rsidR="00AA38EC" w:rsidRDefault="00AA38EC" w:rsidP="00AA38EC">
      <w:r>
        <w:lastRenderedPageBreak/>
        <w:t xml:space="preserve"> examination of tissues by a physician specifically trained to interpret and diagnose disease by </w:t>
      </w:r>
      <w:r w:rsidRPr="003C2000">
        <w:rPr>
          <w:rFonts w:ascii="Albertus Extra Bold" w:hAnsi="Albertus Extra Bold"/>
          <w:b/>
        </w:rPr>
        <w:t>[</w:t>
      </w:r>
      <w:r>
        <w:t>such</w:t>
      </w:r>
      <w:r w:rsidRPr="003C2000">
        <w:rPr>
          <w:rFonts w:ascii="Albertus Extra Bold" w:hAnsi="Albertus Extra Bold"/>
          <w:b/>
        </w:rPr>
        <w:t>]</w:t>
      </w:r>
      <w:r>
        <w:t xml:space="preserve"> </w:t>
      </w:r>
      <w:r>
        <w:rPr>
          <w:u w:val="single"/>
        </w:rPr>
        <w:t>means of that</w:t>
      </w:r>
      <w:r>
        <w:t xml:space="preserve"> examination.</w:t>
      </w:r>
    </w:p>
    <w:p w:rsidR="00AA38EC" w:rsidRDefault="00AA38EC" w:rsidP="00AA38EC">
      <w:r>
        <w:tab/>
      </w:r>
      <w:r w:rsidRPr="00F15384">
        <w:rPr>
          <w:rFonts w:ascii="Albertus Extra Bold" w:hAnsi="Albertus Extra Bold"/>
          <w:b/>
        </w:rPr>
        <w:t>[</w:t>
      </w:r>
      <w:r>
        <w:t>h.</w:t>
      </w:r>
      <w:r w:rsidRPr="00F15384">
        <w:rPr>
          <w:rFonts w:ascii="Albertus Extra Bold" w:hAnsi="Albertus Extra Bold"/>
          <w:b/>
        </w:rPr>
        <w:t>]</w:t>
      </w:r>
      <w:r>
        <w:t xml:space="preserve"> "Person" means any individual, partnership, limited partnership, corporation</w:t>
      </w:r>
      <w:r>
        <w:rPr>
          <w:u w:val="single"/>
        </w:rPr>
        <w:t>,</w:t>
      </w:r>
      <w:r>
        <w:t xml:space="preserve"> or other legal entity.</w:t>
      </w:r>
    </w:p>
    <w:p w:rsidR="00AA38EC" w:rsidRDefault="00AA38EC" w:rsidP="00AA38EC">
      <w:r>
        <w:t>(</w:t>
      </w:r>
      <w:proofErr w:type="spellStart"/>
      <w:r>
        <w:t>cf</w:t>
      </w:r>
      <w:proofErr w:type="spellEnd"/>
      <w:r>
        <w:t>: P.L.1975, c.166, s.2)</w:t>
      </w:r>
    </w:p>
    <w:p w:rsidR="00AA38EC" w:rsidRDefault="00AA38EC" w:rsidP="00AA38EC"/>
    <w:p w:rsidR="00AA38EC" w:rsidRDefault="00AA38EC" w:rsidP="00AA38EC">
      <w:r>
        <w:tab/>
        <w:t>2.</w:t>
      </w:r>
      <w:r>
        <w:tab/>
        <w:t>(New section)  a.  A clinical laboratory licensed pursuant to P.L.1975, c.166 (C.45:9-42.26 et seq.), which is providing services for an entity that is operating as an accountable care organization in accordance with any applicable requirements of State and federal law, shall be required to establish a clinical laboratory testing advisory board for the purposes of subsection b. of this section.</w:t>
      </w:r>
    </w:p>
    <w:p w:rsidR="00AA38EC" w:rsidRDefault="00AA38EC" w:rsidP="00AA38EC">
      <w:r>
        <w:tab/>
        <w:t>b.</w:t>
      </w:r>
      <w:r>
        <w:tab/>
        <w:t>The clinical laboratory testing advisory board shall be authorized to consider and make recommendations to the governing board of the accountable care organization for the adoption of guidelines or protocols concerning:</w:t>
      </w:r>
    </w:p>
    <w:p w:rsidR="00AA38EC" w:rsidRDefault="00AA38EC" w:rsidP="00AA38EC">
      <w:r>
        <w:tab/>
        <w:t>(1)</w:t>
      </w:r>
      <w:r>
        <w:tab/>
        <w:t>clinical laboratory testing that is utilized for diagnostic purposes or disease management, including guidelines or protocols designed to ensure the appropriateness of testing; and</w:t>
      </w:r>
    </w:p>
    <w:p w:rsidR="00AA38EC" w:rsidRDefault="00AA38EC" w:rsidP="00AA38EC">
      <w:r>
        <w:tab/>
        <w:t>(2)</w:t>
      </w:r>
      <w:r>
        <w:tab/>
        <w:t>pathologist consultation on episodes of care.</w:t>
      </w:r>
    </w:p>
    <w:p w:rsidR="00AA38EC" w:rsidRDefault="00AA38EC" w:rsidP="00AA38EC">
      <w:r>
        <w:tab/>
        <w:t>c.</w:t>
      </w:r>
      <w:r>
        <w:tab/>
        <w:t>The composition of the clinical laboratory testing advisory board shall be determined by the accountable care organization, except that the clinical laboratory testing advisory board shall include among its members at least one physician who is legally affiliated with the accountable care organization and is a clinical laboratory director of a clinical laboratory that is providing services for the accountable care organization.</w:t>
      </w:r>
    </w:p>
    <w:p w:rsidR="00AA38EC" w:rsidRDefault="00AA38EC" w:rsidP="00AA38EC">
      <w:r>
        <w:tab/>
        <w:t>d.</w:t>
      </w:r>
      <w:r>
        <w:tab/>
        <w:t>The provisions of this act shall not be construed to require that the governing board of an accountable care organization adopt a clinical laboratory testing guideline or protocol recommended by a clinical laboratory testing advisory board pursuant to subsection b. of this section.</w:t>
      </w:r>
    </w:p>
    <w:p w:rsidR="00AA38EC" w:rsidRDefault="00AA38EC" w:rsidP="00AA38EC"/>
    <w:p w:rsidR="00AA38EC" w:rsidRDefault="00AA38EC" w:rsidP="00AA38EC">
      <w:r>
        <w:tab/>
        <w:t>3.</w:t>
      </w:r>
      <w:r>
        <w:tab/>
        <w:t>This act shall take effect on the first day of the fourth month next following the date of enactment.</w:t>
      </w:r>
    </w:p>
    <w:p w:rsidR="00AA38EC" w:rsidRPr="00AA7880" w:rsidRDefault="00AA38EC" w:rsidP="00AA38EC"/>
    <w:p w:rsidR="00AA38EC" w:rsidRPr="00CE7BD8" w:rsidRDefault="00AA38EC" w:rsidP="00AA38EC"/>
    <w:p w:rsidR="00AA38EC" w:rsidRPr="00AA7880" w:rsidRDefault="00AA38EC" w:rsidP="00AA38EC">
      <w:pPr>
        <w:jc w:val="center"/>
      </w:pPr>
      <w:r w:rsidRPr="00D71D68">
        <w:t>STATEMENT</w:t>
      </w:r>
    </w:p>
    <w:p w:rsidR="00AA38EC" w:rsidRDefault="00AA38EC" w:rsidP="00AA38EC"/>
    <w:p w:rsidR="00AA38EC" w:rsidRDefault="00AA38EC" w:rsidP="00AA38EC">
      <w:r>
        <w:tab/>
        <w:t>This bill requires a licensed clinical laboratory that is providing services for an accountable care organization (ACO) to establish a clinical laboratory testing advisory board.</w:t>
      </w:r>
    </w:p>
    <w:p w:rsidR="00AA38EC" w:rsidRDefault="00AA38EC" w:rsidP="00AA38EC">
      <w:r>
        <w:tab/>
        <w:t xml:space="preserve">The clinical laboratory testing advisory board is authorized to consider and make recommendations to the governing board of the ACO for the adoption of guidelines or protocols concerning: (1) clinical laboratory testing that is utilized for diagnostic purposes or disease management, including guidelines or protocols designed to </w:t>
      </w:r>
      <w:r>
        <w:lastRenderedPageBreak/>
        <w:t>ensure the appropriateness of testing; and (2) pathologist consultation on episodes of care.</w:t>
      </w:r>
    </w:p>
    <w:p w:rsidR="00AA38EC" w:rsidRDefault="00AA38EC" w:rsidP="00AA38EC">
      <w:r>
        <w:tab/>
        <w:t>The composition of the clinical laboratory testing advisory board is to be determined by the ACO, except that the clinical laboratory testing advisory board must include among its members at least one physician who is legally affiliated with the ACO and is a clinical laboratory director of a clinical laboratory that is providing services for the ACO.</w:t>
      </w:r>
    </w:p>
    <w:p w:rsidR="00AA38EC" w:rsidRPr="00E7752C" w:rsidRDefault="00AA38EC" w:rsidP="00AA38EC">
      <w:r>
        <w:tab/>
        <w:t>The provisions of this bill are not to be construed to require that the governing board of an ACO adopt a clinical laboratory testing guideline or protocol recommended by a clinical laboratory testing advisory board.</w:t>
      </w:r>
    </w:p>
    <w:sectPr w:rsidR="00AA38EC" w:rsidRPr="00E7752C" w:rsidSect="005A16D5">
      <w:headerReference w:type="default" r:id="rId13"/>
      <w:footerReference w:type="default" r:id="rId14"/>
      <w:headerReference w:type="first" r:id="rId15"/>
      <w:footerReference w:type="first" r:id="rId16"/>
      <w:pgSz w:w="12240" w:h="20160" w:code="5"/>
      <w:pgMar w:top="1440" w:right="2520" w:bottom="1728" w:left="2880" w:header="1181" w:footer="734"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010E" w:rsidRDefault="008F010E">
      <w:r>
        <w:separator/>
      </w:r>
    </w:p>
  </w:endnote>
  <w:endnote w:type="continuationSeparator" w:id="0">
    <w:p w:rsidR="008F010E" w:rsidRDefault="008F01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16D5" w:rsidRPr="00921C91" w:rsidRDefault="005A16D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A16D5" w:rsidRPr="00921C91" w:rsidRDefault="005A16D5">
    <w:pPr>
      <w:pStyle w:val="Footer"/>
      <w:rPr>
        <w:szCs w:val="18"/>
      </w:rPr>
    </w:pPr>
  </w:p>
  <w:p w:rsidR="005A16D5" w:rsidRPr="00921C91" w:rsidRDefault="005A16D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A16D5" w:rsidRDefault="005A16D5">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010E" w:rsidRDefault="008F010E">
      <w:r>
        <w:separator/>
      </w:r>
    </w:p>
  </w:footnote>
  <w:footnote w:type="continuationSeparator" w:id="0">
    <w:p w:rsidR="008F010E" w:rsidRDefault="008F01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00CA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A16D5" w:rsidRDefault="005A16D5" w:rsidP="005A16D5">
    <w:pPr>
      <w:pStyle w:val="bpuHeadSpon"/>
    </w:pPr>
    <w:r w:rsidRPr="005A16D5">
      <w:rPr>
        <w:rStyle w:val="bpuHeadSponChar"/>
      </w:rPr>
      <w:t>A523</w:t>
    </w:r>
    <w:r>
      <w:t xml:space="preserve"> JIMENEZ</w:t>
    </w:r>
  </w:p>
  <w:p w:rsidR="005A16D5" w:rsidRDefault="005A16D5" w:rsidP="005A16D5">
    <w:pPr>
      <w:pStyle w:val="bpuHeadSpon"/>
    </w:pPr>
    <w:r>
      <w:fldChar w:fldCharType="begin"/>
    </w:r>
    <w:r>
      <w:instrText xml:space="preserve"> PAGE  \* MERGEFORMAT </w:instrText>
    </w:r>
    <w:r>
      <w:fldChar w:fldCharType="separate"/>
    </w:r>
    <w:r w:rsidR="00000CAF">
      <w:rPr>
        <w:noProof/>
      </w:rPr>
      <w:t>4</w:t>
    </w:r>
    <w:r>
      <w:fldChar w:fldCharType="end"/>
    </w:r>
  </w:p>
  <w:p w:rsidR="005A16D5" w:rsidRPr="00AF575C" w:rsidRDefault="005A16D5" w:rsidP="005A16D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A16D5" w:rsidRDefault="005A16D5" w:rsidP="005A16D5">
    <w:pPr>
      <w:pStyle w:val="bpuHeadSpon"/>
    </w:pPr>
    <w:r w:rsidRPr="005A16D5">
      <w:rPr>
        <w:rStyle w:val="bpuHeadSponChar"/>
      </w:rPr>
      <w:t>A523</w:t>
    </w:r>
    <w:r>
      <w:t xml:space="preserve"> JIMENEZ</w:t>
    </w:r>
  </w:p>
  <w:p w:rsidR="005A16D5" w:rsidRDefault="005A16D5" w:rsidP="005A16D5">
    <w:pPr>
      <w:pStyle w:val="bpuHeadSpon"/>
    </w:pPr>
    <w:r>
      <w:fldChar w:fldCharType="begin"/>
    </w:r>
    <w:r>
      <w:instrText xml:space="preserve"> PAGE  \* MERGEFORMAT </w:instrText>
    </w:r>
    <w:r>
      <w:fldChar w:fldCharType="separate"/>
    </w:r>
    <w:r w:rsidR="00000CAF">
      <w:rPr>
        <w:noProof/>
      </w:rPr>
      <w:t>2</w:t>
    </w:r>
    <w:r>
      <w:fldChar w:fldCharType="end"/>
    </w:r>
  </w:p>
  <w:p w:rsidR="005A16D5" w:rsidRDefault="005A16D5" w:rsidP="005A16D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010E"/>
    <w:rsid w:val="00000169"/>
    <w:rsid w:val="00000CAF"/>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73FC9"/>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751AB"/>
    <w:rsid w:val="005836AB"/>
    <w:rsid w:val="00585FA1"/>
    <w:rsid w:val="005866AA"/>
    <w:rsid w:val="005876F1"/>
    <w:rsid w:val="00592664"/>
    <w:rsid w:val="0059343F"/>
    <w:rsid w:val="00596B76"/>
    <w:rsid w:val="005A16D5"/>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7F4CBE"/>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010E"/>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8EC"/>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563C2"/>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B94A9154-A2CD-45B8-9C8C-69A1F05D4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A16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847A10-FCDF-48F4-8000-1CCA6A36FC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883</Words>
  <Characters>5114</Characters>
  <Application>Microsoft Office Word</Application>
  <DocSecurity>0</DocSecurity>
  <Lines>129</Lines>
  <Paragraphs>38</Paragraphs>
  <ScaleCrop>false</ScaleCrop>
  <HeadingPairs>
    <vt:vector size="2" baseType="variant">
      <vt:variant>
        <vt:lpstr>Title</vt:lpstr>
      </vt:variant>
      <vt:variant>
        <vt:i4>1</vt:i4>
      </vt:variant>
    </vt:vector>
  </HeadingPairs>
  <TitlesOfParts>
    <vt:vector size="1" baseType="lpstr">
      <vt:lpstr>jimenez/371_I1</vt:lpstr>
    </vt:vector>
  </TitlesOfParts>
  <Manager>R229</Manager>
  <Company>OFFICE of LEGISLATIVE SERVICES</Company>
  <LinksUpToDate>false</LinksUpToDate>
  <CharactersWithSpaces>6015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A523</dc:title>
  <dc:creator>Assemblywoman  JIMENEZ</dc:creator>
  <cp:keywords>A523|4|HS |122|0|0|!|0|</cp:keywords>
  <dc:description>PREFILED 2020</dc:description>
  <cp:lastModifiedBy>Bell, Careema</cp:lastModifiedBy>
  <cp:revision>2</cp:revision>
  <cp:lastPrinted>2005-07-29T18:13:00Z</cp:lastPrinted>
  <dcterms:created xsi:type="dcterms:W3CDTF">2019-12-16T20:43:00Z</dcterms:created>
  <dcterms:modified xsi:type="dcterms:W3CDTF">2019-12-16T20:43:00Z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