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7A0" w:rsidRDefault="004E47A0" w:rsidP="004E47A0">
      <w:pPr>
        <w:pStyle w:val="bpuBill"/>
      </w:pPr>
      <w:bookmarkStart w:id="0" w:name="bpuFrontPg"/>
      <w:bookmarkStart w:id="1" w:name="_GoBack"/>
      <w:bookmarkEnd w:id="0"/>
      <w:bookmarkEnd w:id="1"/>
      <w:r>
        <w:t xml:space="preserve">ASSEMBLY, No. 551 </w:t>
      </w:r>
    </w:p>
    <w:p w:rsidR="004E47A0" w:rsidRPr="004E47A0" w:rsidRDefault="004E47A0" w:rsidP="004E47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1691" r:id="rId8"/>
        </w:object>
      </w:r>
    </w:p>
    <w:p w:rsidR="004E47A0" w:rsidRDefault="004E47A0" w:rsidP="004E47A0">
      <w:pPr>
        <w:pStyle w:val="bpuState"/>
      </w:pPr>
      <w:r>
        <w:t>STATE OF NEW JERSEY</w:t>
      </w:r>
    </w:p>
    <w:p w:rsidR="004E47A0" w:rsidRDefault="004E47A0" w:rsidP="004E47A0">
      <w:pPr>
        <w:pStyle w:val="bpuLegislature"/>
      </w:pPr>
      <w:r>
        <w:t>219th LEGISLATURE</w:t>
      </w:r>
    </w:p>
    <w:p w:rsidR="004E47A0" w:rsidRDefault="004E47A0" w:rsidP="004E47A0">
      <w:pPr>
        <w:pStyle w:val="bpuWpGraphic"/>
      </w:pPr>
      <w:r>
        <w:object w:dxaOrig="8985" w:dyaOrig="255">
          <v:shape id="_x0000_i1026" type="#_x0000_t75" style="width:6in;height:12pt" o:ole="">
            <v:imagedata r:id="rId7" o:title=""/>
          </v:shape>
          <o:OLEObject Type="Embed" ProgID="WPWin6.1" ShapeID="_x0000_i1026" DrawAspect="Content" ObjectID="_1638021692" r:id="rId9"/>
        </w:object>
      </w:r>
      <w:r>
        <w:t xml:space="preserve">  </w:t>
      </w:r>
    </w:p>
    <w:p w:rsidR="004E47A0" w:rsidRDefault="004E47A0" w:rsidP="004E47A0">
      <w:pPr>
        <w:pStyle w:val="bpuIntro"/>
      </w:pPr>
      <w:r>
        <w:t>PRE-FILED FOR INTRODUCTION IN THE 2020 SESSION</w:t>
      </w:r>
    </w:p>
    <w:p w:rsidR="004E47A0" w:rsidRDefault="004E47A0" w:rsidP="004E47A0">
      <w:pPr>
        <w:pStyle w:val="bpuIntro"/>
      </w:pPr>
    </w:p>
    <w:p w:rsidR="004E47A0" w:rsidRDefault="004E47A0" w:rsidP="004E47A0">
      <w:pPr>
        <w:pStyle w:val="bpuIntro"/>
        <w:sectPr w:rsidR="004E47A0" w:rsidSect="004E47A0">
          <w:headerReference w:type="even" r:id="rId10"/>
          <w:headerReference w:type="default" r:id="rId11"/>
          <w:pgSz w:w="12240" w:h="20160" w:code="5"/>
          <w:pgMar w:top="2160" w:right="1440" w:bottom="1440" w:left="1440" w:header="720" w:footer="720" w:gutter="0"/>
          <w:pgNumType w:start="1"/>
          <w:cols w:space="720"/>
          <w:docGrid w:linePitch="360"/>
        </w:sectPr>
      </w:pPr>
    </w:p>
    <w:p w:rsidR="004E47A0" w:rsidRDefault="004E47A0" w:rsidP="004E47A0">
      <w:pPr>
        <w:pStyle w:val="bpuIntro"/>
      </w:pPr>
    </w:p>
    <w:p w:rsidR="004E47A0" w:rsidRDefault="004E47A0" w:rsidP="004E47A0">
      <w:pPr>
        <w:pStyle w:val="bpuSponsor"/>
      </w:pPr>
      <w:r>
        <w:t>Sponsored by:</w:t>
      </w:r>
    </w:p>
    <w:p w:rsidR="004E47A0" w:rsidRDefault="004E47A0" w:rsidP="004E47A0">
      <w:pPr>
        <w:pStyle w:val="bpuSponsor"/>
      </w:pPr>
      <w:r>
        <w:t>Assemblyman  ROBERT AUTH</w:t>
      </w:r>
    </w:p>
    <w:p w:rsidR="004E47A0" w:rsidRDefault="004E47A0" w:rsidP="004E47A0">
      <w:pPr>
        <w:pStyle w:val="bpuSponsor"/>
      </w:pPr>
      <w:r>
        <w:t>District 39 (Bergen and Passaic)</w:t>
      </w:r>
    </w:p>
    <w:p w:rsidR="004E47A0" w:rsidRDefault="004E47A0" w:rsidP="004E47A0">
      <w:pPr>
        <w:pStyle w:val="bpuSponsor"/>
      </w:pPr>
      <w:r>
        <w:t>Assemblyman  JOHN DIMAIO</w:t>
      </w:r>
    </w:p>
    <w:p w:rsidR="004E47A0" w:rsidRDefault="004E47A0" w:rsidP="004E47A0">
      <w:pPr>
        <w:pStyle w:val="bpuSponsor"/>
      </w:pPr>
      <w:r>
        <w:t>District 23 (Hunterdon, Somerset and Warren)</w:t>
      </w:r>
    </w:p>
    <w:p w:rsidR="004E47A0" w:rsidRDefault="004E47A0" w:rsidP="004E47A0">
      <w:pPr>
        <w:pStyle w:val="bpuSponsor"/>
      </w:pPr>
    </w:p>
    <w:p w:rsidR="004E47A0" w:rsidRDefault="004E47A0" w:rsidP="004E47A0">
      <w:pPr>
        <w:pStyle w:val="bpuSponsor"/>
      </w:pPr>
    </w:p>
    <w:p w:rsidR="004E47A0" w:rsidRDefault="004E47A0" w:rsidP="004E47A0">
      <w:pPr>
        <w:pStyle w:val="bpuSponsor"/>
      </w:pPr>
    </w:p>
    <w:p w:rsidR="004E47A0" w:rsidRDefault="004E47A0" w:rsidP="004E47A0">
      <w:pPr>
        <w:pStyle w:val="bpuSponsor"/>
      </w:pPr>
    </w:p>
    <w:p w:rsidR="004E47A0" w:rsidRDefault="004E47A0" w:rsidP="004E47A0">
      <w:pPr>
        <w:pStyle w:val="bpuSponsor"/>
      </w:pPr>
      <w:r>
        <w:t>SYNOPSIS</w:t>
      </w:r>
    </w:p>
    <w:p w:rsidR="004E47A0" w:rsidRDefault="004E47A0" w:rsidP="004E47A0">
      <w:pPr>
        <w:pStyle w:val="bpuNormText"/>
      </w:pPr>
      <w:r>
        <w:tab/>
        <w:t xml:space="preserve">Permits licensed electrical contractors to perform certain gas piping work. </w:t>
      </w:r>
    </w:p>
    <w:p w:rsidR="004E47A0" w:rsidRDefault="004E47A0" w:rsidP="004E47A0">
      <w:pPr>
        <w:pStyle w:val="bpuNormText"/>
      </w:pPr>
    </w:p>
    <w:p w:rsidR="004E47A0" w:rsidRDefault="004E47A0" w:rsidP="004E47A0">
      <w:pPr>
        <w:pStyle w:val="bpuSponsor"/>
      </w:pPr>
      <w:r>
        <w:t xml:space="preserve">CURRENT VERSION OF TEXT </w:t>
      </w:r>
    </w:p>
    <w:p w:rsidR="004E47A0" w:rsidRDefault="004E47A0" w:rsidP="004E47A0">
      <w:pPr>
        <w:pStyle w:val="bpuNormText"/>
      </w:pPr>
      <w:r>
        <w:tab/>
        <w:t>Introduced Pending Technical Review by Legislative Counsel.</w:t>
      </w:r>
    </w:p>
    <w:p w:rsidR="004E47A0" w:rsidRDefault="004E47A0" w:rsidP="004E47A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E47A0" w:rsidRDefault="004E47A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E47A0" w:rsidSect="004E47A0">
          <w:type w:val="continuous"/>
          <w:pgSz w:w="12240" w:h="20160" w:code="5"/>
          <w:pgMar w:top="2160" w:right="2275" w:bottom="1440" w:left="2275" w:header="72" w:footer="720" w:gutter="0"/>
          <w:pgNumType w:start="1"/>
          <w:cols w:space="720"/>
          <w:docGrid w:linePitch="360"/>
        </w:sectPr>
      </w:pPr>
    </w:p>
    <w:p w:rsidR="0054066A" w:rsidRPr="00677316" w:rsidRDefault="0054066A" w:rsidP="0054066A">
      <w:pPr>
        <w:pStyle w:val="HangingAnAct"/>
        <w:rPr>
          <w:rStyle w:val="HangingAnActChar"/>
        </w:rPr>
      </w:pPr>
      <w:r w:rsidRPr="0054066A">
        <w:rPr>
          <w:rStyle w:val="BillHead"/>
        </w:rPr>
        <w:lastRenderedPageBreak/>
        <w:t>An Act</w:t>
      </w:r>
      <w:r w:rsidRPr="006B7FA7">
        <w:rPr>
          <w:rStyle w:val="HangingAnActChar"/>
        </w:rPr>
        <w:t xml:space="preserve"> </w:t>
      </w:r>
      <w:r>
        <w:rPr>
          <w:rStyle w:val="HangingAnActChar"/>
        </w:rPr>
        <w:t>concerning heating, ventilating, air conditioning and refrigeration contracting and amending P.L.2007, c.211.</w:t>
      </w:r>
    </w:p>
    <w:p w:rsidR="0054066A" w:rsidRPr="00D71D68" w:rsidRDefault="0054066A" w:rsidP="0054066A"/>
    <w:p w:rsidR="0054066A" w:rsidRPr="00AA7880" w:rsidRDefault="0054066A" w:rsidP="0054066A">
      <w:r>
        <w:tab/>
      </w:r>
      <w:r>
        <w:rPr>
          <w:rStyle w:val="BillHeading2"/>
        </w:rPr>
        <w:t xml:space="preserve">Be It Enacted </w:t>
      </w:r>
      <w:r>
        <w:rPr>
          <w:rStyle w:val="BillLanguage"/>
        </w:rPr>
        <w:t>by the Senate and General Assembly of the State of New Jersey:</w:t>
      </w:r>
    </w:p>
    <w:p w:rsidR="0054066A" w:rsidRPr="00D71D68" w:rsidRDefault="0054066A" w:rsidP="0054066A"/>
    <w:p w:rsidR="0054066A" w:rsidRDefault="0054066A" w:rsidP="0054066A">
      <w:r>
        <w:tab/>
        <w:t>1.</w:t>
      </w:r>
      <w:r>
        <w:tab/>
        <w:t>Section 27 of P.L.2007, c.211 (C.45:16A-27) is amended to read as follows:</w:t>
      </w:r>
    </w:p>
    <w:p w:rsidR="0054066A" w:rsidRDefault="0054066A" w:rsidP="0054066A">
      <w:pPr>
        <w:tabs>
          <w:tab w:val="clear" w:pos="720"/>
          <w:tab w:val="left" w:pos="900"/>
        </w:tabs>
      </w:pPr>
      <w:r>
        <w:tab/>
        <w:t>27.</w:t>
      </w:r>
      <w:r>
        <w:tab/>
        <w:t xml:space="preserve">a.  Nothing in </w:t>
      </w:r>
      <w:r w:rsidRPr="00395844">
        <w:rPr>
          <w:rFonts w:ascii="Albertus Extra Bold" w:hAnsi="Albertus Extra Bold"/>
          <w:b/>
        </w:rPr>
        <w:t>[</w:t>
      </w:r>
      <w:r>
        <w:t>this act</w:t>
      </w:r>
      <w:r w:rsidRPr="00395844">
        <w:rPr>
          <w:rFonts w:ascii="Albertus Extra Bold" w:hAnsi="Albertus Extra Bold"/>
          <w:b/>
        </w:rPr>
        <w:t>]</w:t>
      </w:r>
      <w:r>
        <w:t xml:space="preserve"> </w:t>
      </w:r>
      <w:r>
        <w:rPr>
          <w:u w:val="single"/>
        </w:rPr>
        <w:t>P.L.2007, c.211 (C.45:16A-1 et seq.)</w:t>
      </w:r>
      <w:r>
        <w:t xml:space="preserve"> shall be construed to prevent licensed master plumbers from engaging in the installation, maintenance and repair of: power boiler systems, hot water and steam heating systems, fire tube and water tube boilers, pressure steam and hot water boilers, space heaters, unit heaters, and appurtenances utilizing electricity, fossil fuel or solar energy; steam, hot water and chilled water pipe, condensate piping, valves, fittings, burners and piping, expansion tanks, pumps, gauges on the load side of a meter; thermostatic controls; or natural or manufactured gas piping; or the installation, maintenance or connection of: pneumatic controls and control piping for the control of air, liquid or gas temperatures, radiators, convectors, cabinet unit heaters, fan coil units, air handlers utilizing hydronic coils, mechanical ventilation for radon mitigation, humidifiers, flues and patented chimneys; or of pneumatic controls and control piping of automatic oil, gas or coal burning equipment, gasoline or diesel oil dispensing equipment and in replacement cases only, the connection thereof of the wiring from a dedicated electrical service disconnect box of adequate size to accommodate the equipment and controls, and the testing and balancing of hydronic systems; or the installation, repair, testing or closure of waste oil underground storage tanks.</w:t>
      </w:r>
    </w:p>
    <w:p w:rsidR="0054066A" w:rsidRDefault="0054066A" w:rsidP="0054066A">
      <w:r>
        <w:tab/>
        <w:t>b.</w:t>
      </w:r>
      <w:r>
        <w:tab/>
        <w:t xml:space="preserve">Nothing in </w:t>
      </w:r>
      <w:r w:rsidRPr="00395844">
        <w:rPr>
          <w:rFonts w:ascii="Albertus Extra Bold" w:hAnsi="Albertus Extra Bold"/>
          <w:b/>
        </w:rPr>
        <w:t>[</w:t>
      </w:r>
      <w:r>
        <w:t>this act</w:t>
      </w:r>
      <w:r w:rsidRPr="00395844">
        <w:rPr>
          <w:rFonts w:ascii="Albertus Extra Bold" w:hAnsi="Albertus Extra Bold"/>
          <w:b/>
        </w:rPr>
        <w:t>]</w:t>
      </w:r>
      <w:r>
        <w:t xml:space="preserve"> </w:t>
      </w:r>
      <w:r>
        <w:rPr>
          <w:u w:val="single"/>
        </w:rPr>
        <w:t>P.L.2007, c.211 (C.45:16A-1 et seq.)</w:t>
      </w:r>
      <w:r>
        <w:t xml:space="preserve"> shall be construed to prevent licensed electrical contractors from engaging in the installation of: electrical resistance heating equipment and ventilation equipment with the exhaust duct not exceeding 60 square inches in area, or in commercial applications the connection sleeve between a roof-top mounted exhaust fan and its central connecting register, provided that this connection sleeve is not more than 15 inches in length or the length necessary to penetrate a roof or other similar openings; and the maintenance and repair of the electrical sections of any equipment used for heating, ventilating, air conditioning or refrigeration.</w:t>
      </w:r>
    </w:p>
    <w:p w:rsidR="0054066A" w:rsidRPr="00395844" w:rsidRDefault="0054066A" w:rsidP="0054066A">
      <w:pPr>
        <w:rPr>
          <w:u w:val="single"/>
        </w:rPr>
      </w:pPr>
      <w:r>
        <w:tab/>
      </w:r>
      <w:r>
        <w:rPr>
          <w:u w:val="single"/>
        </w:rPr>
        <w:t>c.</w:t>
      </w:r>
      <w:r>
        <w:rPr>
          <w:u w:val="single"/>
        </w:rPr>
        <w:tab/>
        <w:t xml:space="preserve">Nothing in P.L.2007, c.211 (C:45:16A-1 et seq.) shall be construed to prevent licensed electrical contractors from engaging in the installation, maintenance, and repair of natural or </w:t>
      </w:r>
      <w:r>
        <w:rPr>
          <w:u w:val="single"/>
        </w:rPr>
        <w:lastRenderedPageBreak/>
        <w:t>manufactured gas piping while installing or repairing electric generators.</w:t>
      </w:r>
    </w:p>
    <w:p w:rsidR="0054066A" w:rsidRDefault="0054066A" w:rsidP="0054066A">
      <w:r>
        <w:t>(</w:t>
      </w:r>
      <w:proofErr w:type="spellStart"/>
      <w:r>
        <w:t>cf</w:t>
      </w:r>
      <w:proofErr w:type="spellEnd"/>
      <w:r>
        <w:t>: P.L.2007, c.211, s.27)</w:t>
      </w:r>
    </w:p>
    <w:p w:rsidR="0054066A" w:rsidRDefault="0054066A" w:rsidP="0054066A"/>
    <w:p w:rsidR="0054066A" w:rsidRDefault="0054066A" w:rsidP="0054066A">
      <w:r>
        <w:tab/>
        <w:t>2.</w:t>
      </w:r>
      <w:r>
        <w:tab/>
        <w:t>This act shall take effect on the 90th day following enactment, except the</w:t>
      </w:r>
      <w:r w:rsidRPr="00395844">
        <w:t xml:space="preserve"> </w:t>
      </w:r>
      <w:r>
        <w:t>State Board of Examiners of Heating, Ventilating, Air Conditioning and Refrigeration Contractors may take anticipatory administrative action in advance as shall be necessary for the implementation of this act.</w:t>
      </w:r>
    </w:p>
    <w:p w:rsidR="0054066A" w:rsidRPr="00AA7880" w:rsidRDefault="0054066A" w:rsidP="0054066A"/>
    <w:p w:rsidR="0054066A" w:rsidRPr="00CE7BD8" w:rsidRDefault="0054066A" w:rsidP="0054066A"/>
    <w:p w:rsidR="0054066A" w:rsidRPr="00AA7880" w:rsidRDefault="0054066A" w:rsidP="0054066A">
      <w:pPr>
        <w:jc w:val="center"/>
      </w:pPr>
      <w:r w:rsidRPr="00D71D68">
        <w:t>STATEMENT</w:t>
      </w:r>
    </w:p>
    <w:p w:rsidR="0054066A" w:rsidRDefault="0054066A" w:rsidP="0054066A"/>
    <w:p w:rsidR="0054066A" w:rsidRDefault="0054066A" w:rsidP="0054066A">
      <w:r>
        <w:tab/>
        <w:t xml:space="preserve">This bill provides that no provision of “The State Heating, Ventilating, Air Conditioning and Refrigeration Contracting License Law” will be construed </w:t>
      </w:r>
      <w:r w:rsidRPr="00E162A0">
        <w:t>to prevent licensed electrical contractors from engaging in the installat</w:t>
      </w:r>
      <w:r>
        <w:t>ion, maintenance, and repair of</w:t>
      </w:r>
      <w:r w:rsidRPr="00E162A0">
        <w:t xml:space="preserve"> gas piping</w:t>
      </w:r>
      <w:r>
        <w:t xml:space="preserve"> while installing or repairing electric generators.</w:t>
      </w:r>
    </w:p>
    <w:p w:rsidR="0054066A" w:rsidRPr="00E7752C" w:rsidRDefault="0054066A" w:rsidP="00E7752C">
      <w:r>
        <w:tab/>
        <w:t>Current law prohibits licensed electrical contractors from performing natural gas piping work, and permits only licensed master HVACR contractors and licensed master plumbers to perform natural gas piping work.</w:t>
      </w:r>
    </w:p>
    <w:sectPr w:rsidR="0054066A" w:rsidRPr="00E7752C" w:rsidSect="004E47A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4D3" w:rsidRDefault="007D44D3">
      <w:r>
        <w:separator/>
      </w:r>
    </w:p>
  </w:endnote>
  <w:endnote w:type="continuationSeparator" w:id="0">
    <w:p w:rsidR="007D44D3" w:rsidRDefault="007D4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7A0" w:rsidRPr="00921C91" w:rsidRDefault="004E47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E47A0" w:rsidRPr="00921C91" w:rsidRDefault="004E47A0">
    <w:pPr>
      <w:pStyle w:val="Footer"/>
      <w:rPr>
        <w:szCs w:val="18"/>
      </w:rPr>
    </w:pPr>
  </w:p>
  <w:p w:rsidR="004E47A0" w:rsidRPr="00921C91" w:rsidRDefault="004E47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47A0" w:rsidRDefault="004E47A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4D3" w:rsidRDefault="007D44D3">
      <w:r>
        <w:separator/>
      </w:r>
    </w:p>
  </w:footnote>
  <w:footnote w:type="continuationSeparator" w:id="0">
    <w:p w:rsidR="007D44D3" w:rsidRDefault="007D4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2D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E47A0" w:rsidRDefault="004E47A0" w:rsidP="004E47A0">
    <w:pPr>
      <w:pStyle w:val="bpuHeadSpon"/>
    </w:pPr>
    <w:r w:rsidRPr="004E47A0">
      <w:rPr>
        <w:rStyle w:val="bpuHeadSponChar"/>
      </w:rPr>
      <w:t>A551</w:t>
    </w:r>
    <w:r>
      <w:t xml:space="preserve"> AUTH, DIMAIO</w:t>
    </w:r>
  </w:p>
  <w:p w:rsidR="004E47A0" w:rsidRDefault="004E47A0" w:rsidP="004E47A0">
    <w:pPr>
      <w:pStyle w:val="bpuHeadSpon"/>
    </w:pPr>
    <w:r>
      <w:fldChar w:fldCharType="begin"/>
    </w:r>
    <w:r>
      <w:instrText xml:space="preserve"> PAGE  \* MERGEFORMAT </w:instrText>
    </w:r>
    <w:r>
      <w:fldChar w:fldCharType="separate"/>
    </w:r>
    <w:r w:rsidR="003D2DCD">
      <w:rPr>
        <w:noProof/>
      </w:rPr>
      <w:t>3</w:t>
    </w:r>
    <w:r>
      <w:fldChar w:fldCharType="end"/>
    </w:r>
  </w:p>
  <w:p w:rsidR="004E47A0" w:rsidRPr="00AF575C" w:rsidRDefault="004E47A0" w:rsidP="004E47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E47A0" w:rsidRDefault="004E47A0" w:rsidP="004E47A0">
    <w:pPr>
      <w:pStyle w:val="bpuHeadSpon"/>
    </w:pPr>
    <w:r w:rsidRPr="004E47A0">
      <w:rPr>
        <w:rStyle w:val="bpuHeadSponChar"/>
      </w:rPr>
      <w:t>A551</w:t>
    </w:r>
    <w:r>
      <w:t xml:space="preserve"> AUTH, DIMAIO</w:t>
    </w:r>
  </w:p>
  <w:p w:rsidR="004E47A0" w:rsidRDefault="004E47A0" w:rsidP="004E47A0">
    <w:pPr>
      <w:pStyle w:val="bpuHeadSpon"/>
    </w:pPr>
    <w:r>
      <w:fldChar w:fldCharType="begin"/>
    </w:r>
    <w:r>
      <w:instrText xml:space="preserve"> PAGE  \* MERGEFORMAT </w:instrText>
    </w:r>
    <w:r>
      <w:fldChar w:fldCharType="separate"/>
    </w:r>
    <w:r w:rsidR="003D2DCD">
      <w:rPr>
        <w:noProof/>
      </w:rPr>
      <w:t>2</w:t>
    </w:r>
    <w:r>
      <w:fldChar w:fldCharType="end"/>
    </w:r>
  </w:p>
  <w:p w:rsidR="004E47A0" w:rsidRDefault="004E47A0" w:rsidP="004E47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4D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2E2"/>
    <w:rsid w:val="000C657D"/>
    <w:rsid w:val="000D114D"/>
    <w:rsid w:val="000D6A40"/>
    <w:rsid w:val="000D6DFF"/>
    <w:rsid w:val="000E4219"/>
    <w:rsid w:val="000E4294"/>
    <w:rsid w:val="000E5EF5"/>
    <w:rsid w:val="000F40E1"/>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B9A"/>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066"/>
    <w:rsid w:val="003941E5"/>
    <w:rsid w:val="003A19B9"/>
    <w:rsid w:val="003A213D"/>
    <w:rsid w:val="003B7F50"/>
    <w:rsid w:val="003C32D1"/>
    <w:rsid w:val="003C6FBF"/>
    <w:rsid w:val="003D2B0D"/>
    <w:rsid w:val="003D2DC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47A0"/>
    <w:rsid w:val="004F18AF"/>
    <w:rsid w:val="00501B0F"/>
    <w:rsid w:val="0050427A"/>
    <w:rsid w:val="00505402"/>
    <w:rsid w:val="0051355F"/>
    <w:rsid w:val="00515090"/>
    <w:rsid w:val="00520989"/>
    <w:rsid w:val="005311D7"/>
    <w:rsid w:val="0054066A"/>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4D3"/>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3F0"/>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6E3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F7EF54-C103-466F-82C1-D03DE7D29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E4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ACA4D-40AB-4955-961F-689E09724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568</Words>
  <Characters>3352</Characters>
  <Application>Microsoft Office Word</Application>
  <DocSecurity>0</DocSecurity>
  <Lines>91</Lines>
  <Paragraphs>24</Paragraphs>
  <ScaleCrop>false</ScaleCrop>
  <HeadingPairs>
    <vt:vector size="2" baseType="variant">
      <vt:variant>
        <vt:lpstr>Title</vt:lpstr>
      </vt:variant>
      <vt:variant>
        <vt:i4>1</vt:i4>
      </vt:variant>
    </vt:vector>
  </HeadingPairs>
  <TitlesOfParts>
    <vt:vector size="1" baseType="lpstr">
      <vt:lpstr>A551</vt:lpstr>
    </vt:vector>
  </TitlesOfParts>
  <Manager>R56</Manager>
  <Company>OFFICE of LEGISLATIVE SERVICES</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A551</dc:title>
  <dc:creator>Assemblyman  AUTH, Assemblyman  DIMAIO</dc:creator>
  <cp:keywords>A551|3|EA |286|0|0|!|0|</cp:keywords>
  <dc:description>PREFILED 2020</dc:description>
  <cp:lastModifiedBy>Todaro, Vivian</cp:lastModifiedBy>
  <cp:revision>2</cp:revision>
  <cp:lastPrinted>2019-12-16T18:54:00Z</cp:lastPrinted>
  <dcterms:created xsi:type="dcterms:W3CDTF">2019-12-16T22:15:00Z</dcterms:created>
  <dcterms:modified xsi:type="dcterms:W3CDTF">2019-12-16T22:15:00Z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