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DFB" w:rsidRDefault="00D75DFB" w:rsidP="00D75DFB">
      <w:pPr>
        <w:pStyle w:val="bpuBill"/>
      </w:pPr>
      <w:bookmarkStart w:id="0" w:name="bpuFrontPg"/>
      <w:bookmarkStart w:id="1" w:name="_GoBack"/>
      <w:bookmarkEnd w:id="0"/>
      <w:bookmarkEnd w:id="1"/>
      <w:r>
        <w:t xml:space="preserve">ASSEMBLY, No. 571 </w:t>
      </w:r>
    </w:p>
    <w:p w:rsidR="00D75DFB" w:rsidRPr="00D75DFB" w:rsidRDefault="00D75DFB" w:rsidP="00D75D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353" r:id="rId8"/>
        </w:object>
      </w:r>
    </w:p>
    <w:p w:rsidR="00D75DFB" w:rsidRDefault="00D75DFB" w:rsidP="00D75DFB">
      <w:pPr>
        <w:pStyle w:val="bpuState"/>
      </w:pPr>
      <w:r>
        <w:t>STATE OF NEW JERSEY</w:t>
      </w:r>
    </w:p>
    <w:p w:rsidR="00D75DFB" w:rsidRDefault="00D75DFB" w:rsidP="00D75DFB">
      <w:pPr>
        <w:pStyle w:val="bpuLegislature"/>
      </w:pPr>
      <w:r>
        <w:t>219th LEGISLATURE</w:t>
      </w:r>
    </w:p>
    <w:p w:rsidR="00D75DFB" w:rsidRDefault="00D75DFB" w:rsidP="00D75DFB">
      <w:pPr>
        <w:pStyle w:val="bpuWpGraphic"/>
      </w:pPr>
      <w:r>
        <w:object w:dxaOrig="8985" w:dyaOrig="255">
          <v:shape id="_x0000_i1026" type="#_x0000_t75" style="width:6in;height:12pt" o:ole="">
            <v:imagedata r:id="rId7" o:title=""/>
          </v:shape>
          <o:OLEObject Type="Embed" ProgID="WPWin6.1" ShapeID="_x0000_i1026" DrawAspect="Content" ObjectID="_1638022354" r:id="rId9"/>
        </w:object>
      </w:r>
      <w:r>
        <w:t xml:space="preserve">  </w:t>
      </w:r>
    </w:p>
    <w:p w:rsidR="00D75DFB" w:rsidRDefault="00D75DFB" w:rsidP="00D75DFB">
      <w:pPr>
        <w:pStyle w:val="bpuIntro"/>
      </w:pPr>
      <w:r>
        <w:t>PRE-FILED FOR INTRODUCTION IN THE 2020 SESSION</w:t>
      </w:r>
    </w:p>
    <w:p w:rsidR="00D75DFB" w:rsidRDefault="00D75DFB" w:rsidP="00D75DFB">
      <w:pPr>
        <w:pStyle w:val="bpuIntro"/>
      </w:pPr>
    </w:p>
    <w:p w:rsidR="00D75DFB" w:rsidRDefault="00D75DFB" w:rsidP="00D75DFB">
      <w:pPr>
        <w:pStyle w:val="bpuIntro"/>
        <w:sectPr w:rsidR="00D75DFB" w:rsidSect="00D75DFB">
          <w:headerReference w:type="even" r:id="rId10"/>
          <w:headerReference w:type="default" r:id="rId11"/>
          <w:pgSz w:w="12240" w:h="20160" w:code="5"/>
          <w:pgMar w:top="2160" w:right="1440" w:bottom="1440" w:left="1440" w:header="720" w:footer="720" w:gutter="0"/>
          <w:pgNumType w:start="1"/>
          <w:cols w:space="720"/>
          <w:docGrid w:linePitch="360"/>
        </w:sectPr>
      </w:pPr>
    </w:p>
    <w:p w:rsidR="00D75DFB" w:rsidRDefault="00D75DFB" w:rsidP="00D75DFB">
      <w:pPr>
        <w:pStyle w:val="bpuIntro"/>
      </w:pPr>
    </w:p>
    <w:p w:rsidR="00D75DFB" w:rsidRDefault="00D75DFB" w:rsidP="00D75DFB">
      <w:pPr>
        <w:pStyle w:val="bpuSponsor"/>
      </w:pPr>
      <w:r>
        <w:t>Sponsored by:</w:t>
      </w:r>
    </w:p>
    <w:p w:rsidR="00D75DFB" w:rsidRDefault="00D75DFB" w:rsidP="00D75DFB">
      <w:pPr>
        <w:pStyle w:val="bpuSponsor"/>
      </w:pPr>
      <w:r>
        <w:t>Assemblyman  ROBERT AUTH</w:t>
      </w:r>
    </w:p>
    <w:p w:rsidR="00D75DFB" w:rsidRDefault="00D75DFB" w:rsidP="00D75DFB">
      <w:pPr>
        <w:pStyle w:val="bpuSponsor"/>
      </w:pPr>
      <w:r>
        <w:t>District 39 (Bergen and Passaic)</w:t>
      </w:r>
    </w:p>
    <w:p w:rsidR="00D75DFB" w:rsidRDefault="00D75DFB" w:rsidP="00D75DFB">
      <w:pPr>
        <w:pStyle w:val="bpuSponsor"/>
      </w:pPr>
      <w:r>
        <w:t>Assemblyman  KEVIN J. ROONEY</w:t>
      </w:r>
    </w:p>
    <w:p w:rsidR="00D75DFB" w:rsidRDefault="00D75DFB" w:rsidP="00D75DFB">
      <w:pPr>
        <w:pStyle w:val="bpuSponsor"/>
      </w:pPr>
      <w:r>
        <w:t>District 40 (Bergen, Essex, Morris and Passaic)</w:t>
      </w:r>
    </w:p>
    <w:p w:rsidR="00D75DFB" w:rsidRDefault="00D75DFB" w:rsidP="00D75DFB">
      <w:pPr>
        <w:pStyle w:val="bpuSponsor"/>
      </w:pPr>
    </w:p>
    <w:p w:rsidR="00D75DFB" w:rsidRDefault="00D75DFB" w:rsidP="00D75DFB">
      <w:pPr>
        <w:pStyle w:val="bpuSponsor"/>
      </w:pPr>
    </w:p>
    <w:p w:rsidR="00D75DFB" w:rsidRDefault="00D75DFB" w:rsidP="00D75DFB">
      <w:pPr>
        <w:pStyle w:val="bpuSponsor"/>
      </w:pPr>
    </w:p>
    <w:p w:rsidR="00D75DFB" w:rsidRDefault="00D75DFB" w:rsidP="00D75DFB">
      <w:pPr>
        <w:pStyle w:val="bpuSponsor"/>
      </w:pPr>
    </w:p>
    <w:p w:rsidR="00D75DFB" w:rsidRDefault="00D75DFB" w:rsidP="00D75DFB">
      <w:pPr>
        <w:pStyle w:val="bpuSponsor"/>
      </w:pPr>
      <w:r>
        <w:t>SYNOPSIS</w:t>
      </w:r>
    </w:p>
    <w:p w:rsidR="00D75DFB" w:rsidRDefault="00D75DFB" w:rsidP="00D75DFB">
      <w:pPr>
        <w:pStyle w:val="bpuNormText"/>
      </w:pPr>
      <w:r>
        <w:tab/>
        <w:t xml:space="preserve">Requires defendants charged with certain crimes to be placed in home confinement prior to trial. </w:t>
      </w:r>
    </w:p>
    <w:p w:rsidR="00D75DFB" w:rsidRDefault="00D75DFB" w:rsidP="00D75DFB">
      <w:pPr>
        <w:pStyle w:val="bpuNormText"/>
      </w:pPr>
    </w:p>
    <w:p w:rsidR="00D75DFB" w:rsidRDefault="00D75DFB" w:rsidP="00D75DFB">
      <w:pPr>
        <w:pStyle w:val="bpuSponsor"/>
      </w:pPr>
      <w:r>
        <w:t xml:space="preserve">CURRENT VERSION OF TEXT </w:t>
      </w:r>
    </w:p>
    <w:p w:rsidR="00D75DFB" w:rsidRDefault="00D75DFB" w:rsidP="00D75DFB">
      <w:pPr>
        <w:pStyle w:val="bpuNormText"/>
      </w:pPr>
      <w:r>
        <w:tab/>
        <w:t>Introduced Pending Technical Review by Legislative Counsel.</w:t>
      </w:r>
    </w:p>
    <w:p w:rsidR="00D75DFB" w:rsidRDefault="00D75DFB" w:rsidP="00D75D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75DFB" w:rsidRDefault="00D75D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75DFB" w:rsidSect="00D75DFB">
          <w:type w:val="continuous"/>
          <w:pgSz w:w="12240" w:h="20160" w:code="5"/>
          <w:pgMar w:top="2160" w:right="2275" w:bottom="1440" w:left="2275" w:header="72" w:footer="720" w:gutter="0"/>
          <w:pgNumType w:start="1"/>
          <w:cols w:space="720"/>
          <w:docGrid w:linePitch="360"/>
        </w:sectPr>
      </w:pPr>
    </w:p>
    <w:p w:rsidR="00B26133" w:rsidRPr="00677316" w:rsidRDefault="00B26133" w:rsidP="00B26133">
      <w:pPr>
        <w:pStyle w:val="HangingAnAct"/>
        <w:rPr>
          <w:rStyle w:val="HangingAnActChar"/>
        </w:rPr>
      </w:pPr>
      <w:r w:rsidRPr="00B26133">
        <w:rPr>
          <w:rStyle w:val="BillHead"/>
        </w:rPr>
        <w:lastRenderedPageBreak/>
        <w:t>An Act</w:t>
      </w:r>
      <w:r w:rsidRPr="006B7FA7">
        <w:rPr>
          <w:rStyle w:val="HangingAnActChar"/>
        </w:rPr>
        <w:t xml:space="preserve"> </w:t>
      </w:r>
      <w:r>
        <w:rPr>
          <w:rStyle w:val="HangingAnActChar"/>
        </w:rPr>
        <w:t xml:space="preserve">concerning pretrial detention and amending </w:t>
      </w:r>
      <w:r>
        <w:t>P.L.2014, c.31.</w:t>
      </w:r>
    </w:p>
    <w:p w:rsidR="00B26133" w:rsidRPr="00D71D68" w:rsidRDefault="00B26133" w:rsidP="00B26133"/>
    <w:p w:rsidR="00B26133" w:rsidRDefault="00B26133" w:rsidP="00B26133">
      <w:pPr>
        <w:rPr>
          <w:rStyle w:val="BillLanguage"/>
        </w:rPr>
      </w:pPr>
      <w:r>
        <w:tab/>
      </w:r>
      <w:r>
        <w:rPr>
          <w:rStyle w:val="BillHeading2"/>
        </w:rPr>
        <w:t xml:space="preserve">Be It Enacted </w:t>
      </w:r>
      <w:r>
        <w:rPr>
          <w:rStyle w:val="BillLanguage"/>
        </w:rPr>
        <w:t>by the Senate and General Assembly of the State of New Jersey:</w:t>
      </w:r>
    </w:p>
    <w:p w:rsidR="00B26133" w:rsidRDefault="00B26133" w:rsidP="00B26133">
      <w:pPr>
        <w:rPr>
          <w:rStyle w:val="BillLanguage"/>
          <w:i w:val="0"/>
        </w:rPr>
      </w:pPr>
    </w:p>
    <w:p w:rsidR="00B26133" w:rsidRPr="004C4E96" w:rsidRDefault="00B26133" w:rsidP="00B26133">
      <w:pPr>
        <w:rPr>
          <w:rStyle w:val="BillLanguage"/>
          <w:i w:val="0"/>
        </w:rPr>
      </w:pPr>
      <w:r>
        <w:rPr>
          <w:rStyle w:val="BillLanguage"/>
        </w:rPr>
        <w:tab/>
      </w:r>
      <w:r w:rsidRPr="00D75DFB">
        <w:rPr>
          <w:rStyle w:val="BillLanguage"/>
          <w:i w:val="0"/>
        </w:rPr>
        <w:t>1</w:t>
      </w:r>
      <w:r>
        <w:rPr>
          <w:rStyle w:val="BillLanguage"/>
        </w:rPr>
        <w:t>.</w:t>
      </w:r>
      <w:r>
        <w:rPr>
          <w:rStyle w:val="BillLanguage"/>
        </w:rPr>
        <w:tab/>
      </w:r>
      <w:r w:rsidRPr="00D75DFB">
        <w:rPr>
          <w:rStyle w:val="BillLanguage"/>
          <w:i w:val="0"/>
        </w:rPr>
        <w:t>Section 4 of</w:t>
      </w:r>
      <w:r>
        <w:rPr>
          <w:rStyle w:val="BillLanguage"/>
        </w:rPr>
        <w:t xml:space="preserve"> </w:t>
      </w:r>
      <w:r>
        <w:t xml:space="preserve">P.L.2014, c.31 (C.2A:162-18) is amended to read as follows:  </w:t>
      </w:r>
    </w:p>
    <w:p w:rsidR="00B26133" w:rsidRDefault="00B26133" w:rsidP="00B26133">
      <w:r>
        <w:tab/>
        <w:t>4.</w:t>
      </w:r>
      <w:r>
        <w:tab/>
        <w:t>a.  (1) The court may order, before trial, the detention of an eligible defendant charged with any crime, or any offense involving domestic violence as defined in subsection a. of section 3 of P.L.1991, c.261 (C.2C:25-19), enumerated in subsection a. of section 5 of P.L.2014, c.31 (C.2A:162-19), if the prosecutor seeks the pretrial detention of the eligible defendant under section 5 of P.L.2014, c.31 (C.2A:162-19) and after a hearing pursuant to  that section the court finds clear and convincing evidence that no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The court may also order the pretrial detention of an eligible defendant when the prosecutor moves for a pretrial detention hearing and the eligible defendant fails to rebut a presumption of pretrial detention that may be established for the crimes enumerated under subsection b. of section 5 of P.L.2014, c.31 (C.2A:162-19).</w:t>
      </w:r>
    </w:p>
    <w:p w:rsidR="00B26133" w:rsidRDefault="00B26133" w:rsidP="00B26133">
      <w:r>
        <w:tab/>
        <w:t>(2)</w:t>
      </w:r>
      <w:r>
        <w:tab/>
        <w:t>For purposes of ordering the pretrial detention of an eligible defendant pursuant to this section and section 5 of P.L.2014, c.31 (C.2A:162-19) or pursuant to section 10 of P.L.2014, c.31 (C.2A:162-24), when determining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consider the amount of monetary bail only with respect to whether it will, by itself or in combination with non-monetary conditions, reasonably assure the eligible defendant's appearance in court when required.</w:t>
      </w:r>
    </w:p>
    <w:p w:rsidR="00B26133" w:rsidRDefault="00B26133" w:rsidP="00B26133">
      <w:r>
        <w:tab/>
        <w:t>b.</w:t>
      </w:r>
      <w:r>
        <w:tab/>
        <w:t xml:space="preserve">Regarding the pretrial detention hearing moved for by the prosecutor, except for when an eligible defendant is charged with a crime set forth under paragraph (1) or (2) of subsection b. of section 5 of P.L.2014, c.31 (C.2A:162-19), there shall be a rebuttable presumption that some amount of monetary bail, non-monetary conditions of pretrial release or combination of monetary bail and </w:t>
      </w:r>
      <w:r>
        <w:lastRenderedPageBreak/>
        <w:t xml:space="preserve">conditions would reasonably assure the eligible defendant's appearance in court when required, the protection of the safety of any other person or the community, and that the eligible defendant will not obstruct or attempt to obstruct the criminal justice process. </w:t>
      </w:r>
    </w:p>
    <w:p w:rsidR="00B26133" w:rsidRDefault="00B26133" w:rsidP="00B26133">
      <w:r>
        <w:tab/>
        <w:t>c.</w:t>
      </w:r>
      <w:r>
        <w:tab/>
        <w:t>An eligible defendant may appeal an order of pretrial detention pursuant to the Rules of Court.  The appeal shall be heard in an expedited manner.  The eligible defendant shall be detained pending the disposition of the appeal.</w:t>
      </w:r>
    </w:p>
    <w:p w:rsidR="00B26133" w:rsidRPr="004C500D" w:rsidRDefault="00B26133" w:rsidP="00B26133">
      <w:pPr>
        <w:rPr>
          <w:u w:val="single"/>
        </w:rPr>
      </w:pPr>
      <w:r>
        <w:tab/>
        <w:t>d.</w:t>
      </w:r>
      <w:r>
        <w:tab/>
        <w:t xml:space="preserve">If the court does not order the pretrial detention of an eligible defendant at the conclusion of the pretrial detention hearing under this section and section 5 of P.L.2014, c.31 (C.2A:162-19), the court shall order the release of the eligible defendant. </w:t>
      </w:r>
      <w:r w:rsidRPr="004C4E96">
        <w:rPr>
          <w:u w:val="single"/>
        </w:rPr>
        <w:t xml:space="preserve">A court that orders </w:t>
      </w:r>
      <w:r>
        <w:rPr>
          <w:u w:val="single"/>
        </w:rPr>
        <w:t xml:space="preserve">the </w:t>
      </w:r>
      <w:r w:rsidRPr="004C4E96">
        <w:rPr>
          <w:u w:val="single"/>
        </w:rPr>
        <w:t xml:space="preserve">release of an eligible defendant pursuant to section 3 of P.L.2014, c.31 (C.2A:162-17) who is charged with a crime with bail restrictions </w:t>
      </w:r>
      <w:r>
        <w:rPr>
          <w:u w:val="single"/>
        </w:rPr>
        <w:t>pursuant to section 1 of P.L.1994, c.144 (C.</w:t>
      </w:r>
      <w:r w:rsidRPr="004C500D">
        <w:rPr>
          <w:u w:val="single"/>
        </w:rPr>
        <w:t>2A:162-12</w:t>
      </w:r>
      <w:r>
        <w:rPr>
          <w:u w:val="single"/>
        </w:rPr>
        <w:t xml:space="preserve">) </w:t>
      </w:r>
      <w:r w:rsidRPr="004C4E96">
        <w:rPr>
          <w:u w:val="single"/>
        </w:rPr>
        <w:t xml:space="preserve">or vehicular homicide </w:t>
      </w:r>
      <w:r>
        <w:rPr>
          <w:u w:val="single"/>
        </w:rPr>
        <w:t xml:space="preserve">pursuant to </w:t>
      </w:r>
      <w:r w:rsidRPr="004C4E96">
        <w:rPr>
          <w:u w:val="single"/>
        </w:rPr>
        <w:t xml:space="preserve">N.J.S.2C:11-5 shall order, in addition to any other condition or combination of conditions, </w:t>
      </w:r>
      <w:r>
        <w:rPr>
          <w:u w:val="single"/>
        </w:rPr>
        <w:t xml:space="preserve">that </w:t>
      </w:r>
      <w:r w:rsidRPr="004C4E96">
        <w:rPr>
          <w:u w:val="single"/>
        </w:rPr>
        <w:t>the defendant be placed in a pretrial home supervision capacity pursuant to subparagraph (k) of paragraph (2) of subsection b. of section 3 of P.L.2014, c.31</w:t>
      </w:r>
      <w:r>
        <w:rPr>
          <w:u w:val="single"/>
        </w:rPr>
        <w:t xml:space="preserve"> </w:t>
      </w:r>
      <w:r w:rsidRPr="004C4E96">
        <w:rPr>
          <w:u w:val="single"/>
        </w:rPr>
        <w:t>(C.2A:162-17).</w:t>
      </w:r>
    </w:p>
    <w:p w:rsidR="00B26133" w:rsidRDefault="00B26133" w:rsidP="00B26133">
      <w:r>
        <w:t>(</w:t>
      </w:r>
      <w:proofErr w:type="spellStart"/>
      <w:r>
        <w:t>cf</w:t>
      </w:r>
      <w:proofErr w:type="spellEnd"/>
      <w:r>
        <w:t xml:space="preserve">:  P.L.2014, c.31, s.4)  </w:t>
      </w:r>
    </w:p>
    <w:p w:rsidR="00B26133" w:rsidRPr="00D71D68" w:rsidRDefault="00B26133" w:rsidP="00B26133"/>
    <w:p w:rsidR="00B26133" w:rsidRPr="00AA7880" w:rsidRDefault="00B26133" w:rsidP="00B26133">
      <w:r>
        <w:tab/>
        <w:t>2.</w:t>
      </w:r>
      <w:r>
        <w:tab/>
        <w:t xml:space="preserve">This act shall take effect immediately.  </w:t>
      </w:r>
    </w:p>
    <w:p w:rsidR="00B26133" w:rsidRDefault="00B26133" w:rsidP="00B26133"/>
    <w:p w:rsidR="00B26133" w:rsidRPr="00CE7BD8" w:rsidRDefault="00B26133" w:rsidP="00B26133"/>
    <w:p w:rsidR="00B26133" w:rsidRPr="00AA7880" w:rsidRDefault="00B26133" w:rsidP="00B26133">
      <w:pPr>
        <w:jc w:val="center"/>
      </w:pPr>
      <w:r w:rsidRPr="00D71D68">
        <w:t>STATEMENT</w:t>
      </w:r>
    </w:p>
    <w:p w:rsidR="00B26133" w:rsidRDefault="00B26133" w:rsidP="00B26133"/>
    <w:p w:rsidR="00B26133" w:rsidRDefault="00B26133" w:rsidP="00B26133">
      <w:r>
        <w:tab/>
        <w:t xml:space="preserve">This bill requires persons charged with a crime with bail restrictions or vehicular homicide who are not incarcerated prior to trial to be placed under pretrial home supervision.  </w:t>
      </w:r>
    </w:p>
    <w:p w:rsidR="00B26133" w:rsidRDefault="00B26133" w:rsidP="00B26133">
      <w:r>
        <w:tab/>
        <w:t xml:space="preserve">P.L.2014, c.31, </w:t>
      </w:r>
      <w:r w:rsidRPr="00424A01">
        <w:t>als</w:t>
      </w:r>
      <w:r>
        <w:t>o known as the “Criminal Justice Reform Law,</w:t>
      </w:r>
      <w:r w:rsidRPr="00424A01">
        <w:t>”</w:t>
      </w:r>
      <w:r>
        <w:t xml:space="preserve"> </w:t>
      </w:r>
      <w:r w:rsidRPr="002C2B9E">
        <w:rPr>
          <w:shd w:val="clear" w:color="auto" w:fill="FFFFFF"/>
        </w:rPr>
        <w:t>i</w:t>
      </w:r>
      <w:r>
        <w:rPr>
          <w:shd w:val="clear" w:color="auto" w:fill="FFFFFF"/>
        </w:rPr>
        <w:t>mplemented</w:t>
      </w:r>
      <w:r w:rsidRPr="002C2B9E">
        <w:rPr>
          <w:shd w:val="clear" w:color="auto" w:fill="FFFFFF"/>
        </w:rPr>
        <w:t xml:space="preserve"> a </w:t>
      </w:r>
      <w:r>
        <w:rPr>
          <w:shd w:val="clear" w:color="auto" w:fill="FFFFFF"/>
        </w:rPr>
        <w:t xml:space="preserve">recently approved </w:t>
      </w:r>
      <w:r w:rsidRPr="002C2B9E">
        <w:rPr>
          <w:shd w:val="clear" w:color="auto" w:fill="FFFFFF"/>
        </w:rPr>
        <w:t>constitutional amendment providing for pretrial detention of certain criminal defendant</w:t>
      </w:r>
      <w:r>
        <w:rPr>
          <w:shd w:val="clear" w:color="auto" w:fill="FFFFFF"/>
        </w:rPr>
        <w:t xml:space="preserve">s.  </w:t>
      </w:r>
      <w:r>
        <w:t xml:space="preserve">(see </w:t>
      </w:r>
      <w:r>
        <w:rPr>
          <w:u w:val="single"/>
        </w:rPr>
        <w:t>N.J. Const.</w:t>
      </w:r>
      <w:r>
        <w:t xml:space="preserve"> (1947), Article I, paragraph 11).  Under P.L.2014, c.31, </w:t>
      </w:r>
      <w:r w:rsidRPr="00424A01">
        <w:t xml:space="preserve">criminal courts </w:t>
      </w:r>
      <w:r>
        <w:t xml:space="preserve">are </w:t>
      </w:r>
      <w:r w:rsidRPr="00424A01">
        <w:t xml:space="preserve">authorized to order the pretrial release of a </w:t>
      </w:r>
      <w:r>
        <w:t xml:space="preserve">defendant </w:t>
      </w:r>
      <w:r w:rsidRPr="00424A01">
        <w:t xml:space="preserve">pending further proceedings, or order pretrial detention </w:t>
      </w:r>
      <w:r>
        <w:t xml:space="preserve">of defendants who are </w:t>
      </w:r>
      <w:r w:rsidRPr="00424A01">
        <w:t>found to be a flight risk</w:t>
      </w:r>
      <w:r>
        <w:t>,</w:t>
      </w:r>
      <w:r w:rsidRPr="00424A01">
        <w:t xml:space="preserve"> a danger to another or the community, or </w:t>
      </w:r>
      <w:r>
        <w:t>likely to obstruct</w:t>
      </w:r>
      <w:r w:rsidRPr="00424A01">
        <w:t xml:space="preserve"> further criminal proceedings.</w:t>
      </w:r>
      <w:r>
        <w:t xml:space="preserve">  A court that does not detain a defendant at the conclusion of a pretrial detention hearing is required to order the release of that defendant prior to trial with or without certain conditions placed on the defendant’s release.  </w:t>
      </w:r>
    </w:p>
    <w:p w:rsidR="00B26133" w:rsidRDefault="00B26133" w:rsidP="00B26133">
      <w:r>
        <w:rPr>
          <w:spacing w:val="0"/>
        </w:rPr>
        <w:tab/>
        <w:t>S</w:t>
      </w:r>
      <w:r>
        <w:t>ection 1 of P.L.</w:t>
      </w:r>
      <w:r w:rsidRPr="00222198">
        <w:t>1994, c.144</w:t>
      </w:r>
      <w:r>
        <w:t xml:space="preserve"> (C.2A:162-12) </w:t>
      </w:r>
      <w:r>
        <w:rPr>
          <w:spacing w:val="0"/>
        </w:rPr>
        <w:t xml:space="preserve">provides that a person charged </w:t>
      </w:r>
      <w:r w:rsidRPr="006D7176">
        <w:rPr>
          <w:spacing w:val="0"/>
        </w:rPr>
        <w:t>with a</w:t>
      </w:r>
      <w:r>
        <w:rPr>
          <w:spacing w:val="0"/>
        </w:rPr>
        <w:t xml:space="preserve"> crime with bail restrictions may only </w:t>
      </w:r>
      <w:r w:rsidRPr="006D7176">
        <w:rPr>
          <w:spacing w:val="0"/>
        </w:rPr>
        <w:t>use full cash, certain surety bonds o</w:t>
      </w:r>
      <w:r>
        <w:rPr>
          <w:spacing w:val="0"/>
        </w:rPr>
        <w:t xml:space="preserve">r certain bail bonds as a means </w:t>
      </w:r>
      <w:r w:rsidRPr="006D7176">
        <w:rPr>
          <w:spacing w:val="0"/>
        </w:rPr>
        <w:t xml:space="preserve">of posting bail. </w:t>
      </w:r>
      <w:r>
        <w:rPr>
          <w:spacing w:val="0"/>
        </w:rPr>
        <w:t>These crimes include: murder; manslaughter; kidnapping; sexual assault; robbery; c</w:t>
      </w:r>
      <w:r w:rsidRPr="006D7176">
        <w:rPr>
          <w:spacing w:val="0"/>
        </w:rPr>
        <w:t>arjacking</w:t>
      </w:r>
      <w:r>
        <w:rPr>
          <w:spacing w:val="0"/>
        </w:rPr>
        <w:t>; arson; causing or risking w</w:t>
      </w:r>
      <w:r w:rsidRPr="006D7176">
        <w:rPr>
          <w:spacing w:val="0"/>
        </w:rPr>
        <w:t xml:space="preserve">idespread </w:t>
      </w:r>
      <w:r>
        <w:rPr>
          <w:spacing w:val="0"/>
        </w:rPr>
        <w:t>injury or d</w:t>
      </w:r>
      <w:r w:rsidRPr="00CF56C4">
        <w:rPr>
          <w:spacing w:val="0"/>
        </w:rPr>
        <w:t>amage</w:t>
      </w:r>
      <w:r>
        <w:rPr>
          <w:spacing w:val="0"/>
        </w:rPr>
        <w:t xml:space="preserve">; burglary, theft by extortion; endangering the welfare </w:t>
      </w:r>
      <w:r>
        <w:rPr>
          <w:spacing w:val="0"/>
        </w:rPr>
        <w:lastRenderedPageBreak/>
        <w:t>of a child; resisting arrest and eluding an officer; escape; corrupting or influencing a jury; possession of weapons for unlawful purposes; weapons training for illegal a</w:t>
      </w:r>
      <w:r w:rsidRPr="006D7176">
        <w:rPr>
          <w:spacing w:val="0"/>
        </w:rPr>
        <w:t>ctivities</w:t>
      </w:r>
      <w:r>
        <w:rPr>
          <w:spacing w:val="0"/>
        </w:rPr>
        <w:t>; soliciting or recruiting gang m</w:t>
      </w:r>
      <w:r w:rsidRPr="006D7176">
        <w:rPr>
          <w:spacing w:val="0"/>
        </w:rPr>
        <w:t>embers</w:t>
      </w:r>
      <w:r>
        <w:rPr>
          <w:spacing w:val="0"/>
        </w:rPr>
        <w:t xml:space="preserve">; human trafficking; </w:t>
      </w:r>
      <w:r w:rsidRPr="006D7176">
        <w:rPr>
          <w:spacing w:val="0"/>
        </w:rPr>
        <w:t>any first or se</w:t>
      </w:r>
      <w:r>
        <w:rPr>
          <w:spacing w:val="0"/>
        </w:rPr>
        <w:t xml:space="preserve">cond degree drug-related crimes; and certain domestic offenses.  </w:t>
      </w:r>
      <w:r w:rsidRPr="006D7176">
        <w:rPr>
          <w:spacing w:val="0"/>
        </w:rPr>
        <w:t>Persons charg</w:t>
      </w:r>
      <w:r>
        <w:rPr>
          <w:spacing w:val="0"/>
        </w:rPr>
        <w:t xml:space="preserve">ed with these enumerated crimes are not permitted to </w:t>
      </w:r>
      <w:r w:rsidRPr="006D7176">
        <w:rPr>
          <w:spacing w:val="0"/>
        </w:rPr>
        <w:t>use the 10% cash option for posting bail</w:t>
      </w:r>
      <w:r>
        <w:rPr>
          <w:spacing w:val="0"/>
        </w:rPr>
        <w:t xml:space="preserve">.  The bill includes vehicular homicide among the list of crimes.  </w:t>
      </w:r>
    </w:p>
    <w:p w:rsidR="00B26133" w:rsidRPr="00E7752C" w:rsidRDefault="00B26133" w:rsidP="00E7752C">
      <w:r>
        <w:tab/>
        <w:t xml:space="preserve">Under this bill, a court that releases a defendant charged with a crime with bail restrictions or vehicular homicide is required to place the defendant under </w:t>
      </w:r>
      <w:r w:rsidRPr="00CB73BD">
        <w:t xml:space="preserve">pretrial home supervision </w:t>
      </w:r>
      <w:r>
        <w:t xml:space="preserve">as a condition of release.  The court may determine whether the defendant is to be monitored with an </w:t>
      </w:r>
      <w:r w:rsidRPr="00CB73BD">
        <w:t>electronic monitoring device</w:t>
      </w:r>
      <w:r>
        <w:t xml:space="preserve">.  </w:t>
      </w:r>
    </w:p>
    <w:sectPr w:rsidR="00B26133" w:rsidRPr="00E7752C" w:rsidSect="00D75DF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3C8" w:rsidRDefault="007A53C8">
      <w:r>
        <w:separator/>
      </w:r>
    </w:p>
  </w:endnote>
  <w:endnote w:type="continuationSeparator" w:id="0">
    <w:p w:rsidR="007A53C8" w:rsidRDefault="007A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DFB" w:rsidRPr="00921C91" w:rsidRDefault="00D75D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5DFB" w:rsidRPr="00921C91" w:rsidRDefault="00D75DFB">
    <w:pPr>
      <w:pStyle w:val="Footer"/>
      <w:rPr>
        <w:szCs w:val="18"/>
      </w:rPr>
    </w:pPr>
  </w:p>
  <w:p w:rsidR="00D75DFB" w:rsidRPr="00921C91" w:rsidRDefault="00D75D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5DFB" w:rsidRDefault="00D75DF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3C8" w:rsidRDefault="007A53C8">
      <w:r>
        <w:separator/>
      </w:r>
    </w:p>
  </w:footnote>
  <w:footnote w:type="continuationSeparator" w:id="0">
    <w:p w:rsidR="007A53C8" w:rsidRDefault="007A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12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75DFB" w:rsidRDefault="00D75DFB" w:rsidP="00D75DFB">
    <w:pPr>
      <w:pStyle w:val="bpuHeadSpon"/>
    </w:pPr>
    <w:r w:rsidRPr="00D75DFB">
      <w:rPr>
        <w:rStyle w:val="bpuHeadSponChar"/>
      </w:rPr>
      <w:t>A571</w:t>
    </w:r>
    <w:r>
      <w:t xml:space="preserve"> AUTH, ROONEY</w:t>
    </w:r>
  </w:p>
  <w:p w:rsidR="00D75DFB" w:rsidRDefault="00D75DFB" w:rsidP="00D75DFB">
    <w:pPr>
      <w:pStyle w:val="bpuHeadSpon"/>
    </w:pPr>
    <w:r>
      <w:fldChar w:fldCharType="begin"/>
    </w:r>
    <w:r>
      <w:instrText xml:space="preserve"> PAGE  \* MERGEFORMAT </w:instrText>
    </w:r>
    <w:r>
      <w:fldChar w:fldCharType="separate"/>
    </w:r>
    <w:r w:rsidR="000E125E">
      <w:rPr>
        <w:noProof/>
      </w:rPr>
      <w:t>4</w:t>
    </w:r>
    <w:r>
      <w:fldChar w:fldCharType="end"/>
    </w:r>
  </w:p>
  <w:p w:rsidR="00D75DFB" w:rsidRPr="00AF575C" w:rsidRDefault="00D75DFB" w:rsidP="00D75D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75DFB" w:rsidRDefault="00D75DFB" w:rsidP="00D75DFB">
    <w:pPr>
      <w:pStyle w:val="bpuHeadSpon"/>
    </w:pPr>
    <w:r w:rsidRPr="00D75DFB">
      <w:rPr>
        <w:rStyle w:val="bpuHeadSponChar"/>
      </w:rPr>
      <w:t>A571</w:t>
    </w:r>
    <w:r>
      <w:t xml:space="preserve"> AUTH, ROONEY</w:t>
    </w:r>
  </w:p>
  <w:p w:rsidR="00D75DFB" w:rsidRDefault="00D75DFB" w:rsidP="00D75DFB">
    <w:pPr>
      <w:pStyle w:val="bpuHeadSpon"/>
    </w:pPr>
    <w:r>
      <w:fldChar w:fldCharType="begin"/>
    </w:r>
    <w:r>
      <w:instrText xml:space="preserve"> PAGE  \* MERGEFORMAT </w:instrText>
    </w:r>
    <w:r>
      <w:fldChar w:fldCharType="separate"/>
    </w:r>
    <w:r w:rsidR="000E125E">
      <w:rPr>
        <w:noProof/>
      </w:rPr>
      <w:t>2</w:t>
    </w:r>
    <w:r>
      <w:fldChar w:fldCharType="end"/>
    </w:r>
  </w:p>
  <w:p w:rsidR="00D75DFB" w:rsidRDefault="00D75DFB" w:rsidP="00D75D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3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25E"/>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1F8"/>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D2E"/>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65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86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3C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8D4"/>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13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DFB"/>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397A15-D0FE-481F-ABE2-13E6F0C5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75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C260D-AB41-4E3D-90D9-75FC2A842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1013</Words>
  <Characters>5560</Characters>
  <Application>Microsoft Office Word</Application>
  <DocSecurity>0</DocSecurity>
  <Lines>132</Lines>
  <Paragraphs>28</Paragraphs>
  <ScaleCrop>false</ScaleCrop>
  <HeadingPairs>
    <vt:vector size="2" baseType="variant">
      <vt:variant>
        <vt:lpstr>Title</vt:lpstr>
      </vt:variant>
      <vt:variant>
        <vt:i4>1</vt:i4>
      </vt:variant>
    </vt:vector>
  </HeadingPairs>
  <TitlesOfParts>
    <vt:vector size="1" baseType="lpstr">
      <vt:lpstr>A571</vt:lpstr>
    </vt:vector>
  </TitlesOfParts>
  <Manager>R56</Manager>
  <Company>OFFICE of LEGISLATIVE SERVICES</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dc:title>
  <dc:creator>Assemblyman  AUTH, Assemblyman  ROONEY</dc:creator>
  <cp:keywords>A571|4|EA |286|0|0|!|0|</cp:keywords>
  <dc:description>PREFILED 2020</dc:description>
  <cp:lastModifiedBy>Todaro, Vivian</cp:lastModifiedBy>
  <cp:revision>2</cp:revision>
  <cp:lastPrinted>2019-12-16T20:03:00Z</cp:lastPrinted>
  <dcterms:created xsi:type="dcterms:W3CDTF">2019-12-16T22:23:00Z</dcterms:created>
  <dcterms:modified xsi:type="dcterms:W3CDTF">2019-12-16T22:23:00Z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