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F5B" w:rsidRDefault="00960F5B" w:rsidP="00960F5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D00E39" w:rsidRDefault="00D00E39" w:rsidP="00D00E39">
      <w:pPr>
        <w:pStyle w:val="bpuBill"/>
      </w:pPr>
      <w:r>
        <w:t xml:space="preserve">ASSEMBLY, No. 679 </w:t>
      </w:r>
    </w:p>
    <w:p w:rsidR="00D00E39" w:rsidRPr="00D00E39" w:rsidRDefault="00D00E39" w:rsidP="00D00E3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79186" r:id="rId8"/>
        </w:object>
      </w:r>
    </w:p>
    <w:p w:rsidR="00D00E39" w:rsidRDefault="00D00E39" w:rsidP="00D00E39">
      <w:pPr>
        <w:pStyle w:val="bpuState"/>
      </w:pPr>
      <w:r>
        <w:t>STATE OF NEW JERSEY</w:t>
      </w:r>
    </w:p>
    <w:p w:rsidR="00D00E39" w:rsidRDefault="00D00E39" w:rsidP="00D00E39">
      <w:pPr>
        <w:pStyle w:val="bpuLegislature"/>
      </w:pPr>
      <w:r>
        <w:t>219th LEGISLATURE</w:t>
      </w:r>
    </w:p>
    <w:p w:rsidR="00D00E39" w:rsidRDefault="00D00E39" w:rsidP="00D00E3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79187" r:id="rId9"/>
        </w:object>
      </w:r>
      <w:r>
        <w:t xml:space="preserve">  </w:t>
      </w:r>
    </w:p>
    <w:p w:rsidR="00D00E39" w:rsidRDefault="00D00E39" w:rsidP="00D00E39">
      <w:pPr>
        <w:pStyle w:val="bpuIntro"/>
      </w:pPr>
      <w:r>
        <w:t>PRE-FILED FOR INTRODUCTION IN THE 2020 SESSION</w:t>
      </w:r>
    </w:p>
    <w:p w:rsidR="00D00E39" w:rsidRDefault="00D00E39" w:rsidP="00D00E39">
      <w:pPr>
        <w:pStyle w:val="bpuIntro"/>
      </w:pPr>
    </w:p>
    <w:p w:rsidR="00D00E39" w:rsidRDefault="00D00E39" w:rsidP="00D00E39">
      <w:pPr>
        <w:pStyle w:val="bpuIntro"/>
        <w:sectPr w:rsidR="00D00E39" w:rsidSect="006A447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D00E39" w:rsidRDefault="00D00E39" w:rsidP="00D00E39">
      <w:pPr>
        <w:pStyle w:val="bpuIntro"/>
      </w:pPr>
    </w:p>
    <w:p w:rsidR="00D00E39" w:rsidRDefault="00D00E39" w:rsidP="00D00E39">
      <w:pPr>
        <w:pStyle w:val="bpuSponsor"/>
      </w:pPr>
      <w:r>
        <w:t>Sponsored by:</w:t>
      </w:r>
    </w:p>
    <w:p w:rsidR="00D00E39" w:rsidRDefault="00D00E39" w:rsidP="00D00E39">
      <w:pPr>
        <w:pStyle w:val="bpuSponsor"/>
      </w:pPr>
      <w:r>
        <w:t>Assemblywoman  VALERIE VAINIERI HUTTLE</w:t>
      </w:r>
    </w:p>
    <w:p w:rsidR="00D00E39" w:rsidRDefault="00D00E39" w:rsidP="00D00E39">
      <w:pPr>
        <w:pStyle w:val="bpuSponsor"/>
      </w:pPr>
      <w:r>
        <w:t>District 37 (Bergen)</w:t>
      </w:r>
    </w:p>
    <w:p w:rsidR="00D00E39" w:rsidRDefault="00D00E39" w:rsidP="00D00E39">
      <w:pPr>
        <w:pStyle w:val="bpuSponsor"/>
      </w:pPr>
      <w:r>
        <w:t>Assemblyman  RAJ MUKHERJI</w:t>
      </w:r>
    </w:p>
    <w:p w:rsidR="00D00E39" w:rsidRDefault="00D00E39" w:rsidP="00D00E39">
      <w:pPr>
        <w:pStyle w:val="bpuSponsor"/>
      </w:pPr>
      <w:r>
        <w:t>District 33 (Hudson)</w:t>
      </w:r>
    </w:p>
    <w:p w:rsidR="00D00E39" w:rsidRDefault="00795238" w:rsidP="00795238">
      <w:pPr>
        <w:pStyle w:val="bpuSponsor"/>
      </w:pPr>
      <w:r>
        <w:t>Assemblywoman  MILA M. JASEY</w:t>
      </w:r>
    </w:p>
    <w:p w:rsidR="00795238" w:rsidRDefault="00795238" w:rsidP="00795238">
      <w:pPr>
        <w:pStyle w:val="bpuSponsor"/>
      </w:pPr>
      <w:r>
        <w:t>District 27 (Essex and Morris)</w:t>
      </w:r>
    </w:p>
    <w:p w:rsidR="00795238" w:rsidRPr="00795238" w:rsidRDefault="00795238" w:rsidP="00795238">
      <w:pPr>
        <w:pStyle w:val="bpuSponsor"/>
      </w:pPr>
    </w:p>
    <w:p w:rsidR="00D00E39" w:rsidRDefault="006A4475" w:rsidP="006A4475">
      <w:pPr>
        <w:pStyle w:val="bpuSponsor"/>
      </w:pPr>
      <w:r>
        <w:t>Co-Sponsored by:</w:t>
      </w:r>
    </w:p>
    <w:p w:rsidR="006A4475" w:rsidRDefault="006A4475" w:rsidP="006A4475">
      <w:pPr>
        <w:pStyle w:val="bpuSponsor"/>
      </w:pPr>
      <w:r w:rsidRPr="006A4475">
        <w:t>Assemblyman McKeon</w:t>
      </w:r>
    </w:p>
    <w:p w:rsidR="006A4475" w:rsidRDefault="006A4475" w:rsidP="006A4475"/>
    <w:p w:rsidR="006A4475" w:rsidRPr="006A4475" w:rsidRDefault="006A4475" w:rsidP="006A4475"/>
    <w:p w:rsidR="00D00E39" w:rsidRDefault="00D00E39" w:rsidP="00D00E39">
      <w:pPr>
        <w:pStyle w:val="bpuSponsor"/>
      </w:pPr>
    </w:p>
    <w:p w:rsidR="00D00E39" w:rsidRDefault="00D00E39" w:rsidP="00D00E39">
      <w:pPr>
        <w:pStyle w:val="bpuSponsor"/>
      </w:pPr>
    </w:p>
    <w:p w:rsidR="00D00E39" w:rsidRDefault="00D00E39" w:rsidP="00D00E39">
      <w:pPr>
        <w:pStyle w:val="bpuSponsor"/>
      </w:pPr>
      <w:r>
        <w:t>SYNOPSIS</w:t>
      </w:r>
    </w:p>
    <w:p w:rsidR="00D00E39" w:rsidRDefault="00D00E39" w:rsidP="00D00E39">
      <w:pPr>
        <w:pStyle w:val="bpuNormText"/>
      </w:pPr>
      <w:r>
        <w:tab/>
      </w:r>
      <w:r w:rsidR="00661A29">
        <w:t>Provides that student-athlete who sustains concussion must return to regular school activities prior to return to competition; requires school districts to implement six-step return-to-competition process.</w:t>
      </w:r>
    </w:p>
    <w:p w:rsidR="00661A29" w:rsidRDefault="00661A29" w:rsidP="00D00E39">
      <w:pPr>
        <w:pStyle w:val="bpuNormText"/>
      </w:pPr>
    </w:p>
    <w:p w:rsidR="00D00E39" w:rsidRDefault="00D00E39" w:rsidP="00D00E39">
      <w:pPr>
        <w:pStyle w:val="bpuSponsor"/>
      </w:pPr>
      <w:r>
        <w:t xml:space="preserve">CURRENT VERSION OF TEXT </w:t>
      </w:r>
    </w:p>
    <w:p w:rsidR="00D00E39" w:rsidRDefault="00960F5B" w:rsidP="00D00E39">
      <w:pPr>
        <w:pStyle w:val="bpuNormText"/>
      </w:pPr>
      <w:r>
        <w:tab/>
        <w:t>As reported by the Assembly Education Committee on May 12, 2021, with amendments.</w:t>
      </w:r>
    </w:p>
    <w:p w:rsidR="00D00E39" w:rsidRDefault="00D00E39" w:rsidP="00D00E3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00E39" w:rsidRDefault="00D00E3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00E39" w:rsidSect="00D00E3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E4144" w:rsidRPr="00677316" w:rsidRDefault="00AE4144" w:rsidP="00AE4144">
      <w:pPr>
        <w:pStyle w:val="HangingAnAct"/>
        <w:rPr>
          <w:rStyle w:val="HangingAnActChar"/>
        </w:rPr>
      </w:pPr>
      <w:r w:rsidRPr="00AE414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41538">
        <w:t>concerning the safety of certain student-athletes and amending and supplementing</w:t>
      </w:r>
      <w:r>
        <w:t xml:space="preserve"> P.L.2010, c.94.</w:t>
      </w:r>
    </w:p>
    <w:p w:rsidR="00AE4144" w:rsidRPr="00D71D68" w:rsidRDefault="00AE4144" w:rsidP="00AE4144"/>
    <w:p w:rsidR="00AE4144" w:rsidRDefault="00AE4144" w:rsidP="00AE4144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D1B2C" w:rsidRPr="00AA7880" w:rsidRDefault="00AD1B2C" w:rsidP="00AE4144"/>
    <w:p w:rsidR="00960F5B" w:rsidRPr="00D86A7F" w:rsidRDefault="00960F5B" w:rsidP="00AD1B2C">
      <w:pPr>
        <w:tabs>
          <w:tab w:val="clear" w:pos="1440"/>
          <w:tab w:val="clear" w:pos="2160"/>
          <w:tab w:val="left" w:pos="1620"/>
          <w:tab w:val="left" w:pos="2340"/>
        </w:tabs>
      </w:pPr>
      <w:r w:rsidRPr="00D86A7F">
        <w:tab/>
        <w:t>1.</w:t>
      </w:r>
      <w:r w:rsidRPr="00D86A7F">
        <w:tab/>
        <w:t>(New section)</w:t>
      </w:r>
      <w:r w:rsidRPr="00D86A7F">
        <w:tab/>
        <w:t xml:space="preserve">Within 180 days of the effective date of P.L.,     c.    (C.        ) (pending before the Legislature as this bill), the Department of Education shall revise the athletic head injury safety training program established pursuant to section 2 of P.L.2010, c.94 (C.18A:40-41.2) to include information on the graduated, </w:t>
      </w:r>
      <w:r w:rsidRPr="00D86A7F">
        <w:rPr>
          <w:rFonts w:ascii="Albertus Extra Bold" w:hAnsi="Albertus Extra Bold"/>
          <w:b/>
          <w:vertAlign w:val="superscript"/>
        </w:rPr>
        <w:t>1</w:t>
      </w:r>
      <w:r w:rsidRPr="00D86A7F">
        <w:rPr>
          <w:rFonts w:ascii="Albertus Extra Bold" w:hAnsi="Albertus Extra Bold"/>
          <w:b/>
        </w:rPr>
        <w:t>[</w:t>
      </w:r>
      <w:r w:rsidRPr="00D86A7F">
        <w:t>five-step</w:t>
      </w:r>
      <w:r w:rsidRPr="00D86A7F">
        <w:rPr>
          <w:rFonts w:ascii="Albertus Extra Bold" w:hAnsi="Albertus Extra Bold"/>
          <w:b/>
        </w:rPr>
        <w:t>]</w:t>
      </w:r>
      <w:r w:rsidRPr="00D86A7F">
        <w:t xml:space="preserve"> </w:t>
      </w:r>
      <w:r w:rsidRPr="00D86A7F">
        <w:rPr>
          <w:u w:val="single"/>
        </w:rPr>
        <w:t>six-step</w:t>
      </w:r>
      <w:r w:rsidRPr="00D86A7F">
        <w:rPr>
          <w:rFonts w:ascii="Albertus Extra Bold" w:hAnsi="Albertus Extra Bold"/>
          <w:b/>
          <w:vertAlign w:val="superscript"/>
        </w:rPr>
        <w:t>1</w:t>
      </w:r>
      <w:r w:rsidRPr="00D86A7F">
        <w:t xml:space="preserve"> “Return to Play Progression” recommendations developed by the Centers for Disease Control and Prevention.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The department shall revise the athletic head injury safety program established pursuant to section 2 of P.L.2010, c.94 (C.18A:40-41.2) whenever the Centers for Disease Control and Prevention changes or otherwise updates the “Return to Play Progression” recommendations.</w:t>
      </w:r>
      <w:r>
        <w:rPr>
          <w:rFonts w:ascii="Albertus Extra Bold" w:hAnsi="Albertus Extra Bold"/>
          <w:b/>
          <w:vertAlign w:val="superscript"/>
        </w:rPr>
        <w:t>1</w:t>
      </w:r>
    </w:p>
    <w:p w:rsidR="00960F5B" w:rsidRDefault="00960F5B" w:rsidP="00960F5B"/>
    <w:p w:rsidR="00960F5B" w:rsidRDefault="00960F5B" w:rsidP="00AD1B2C">
      <w:pPr>
        <w:tabs>
          <w:tab w:val="clear" w:pos="2160"/>
          <w:tab w:val="left" w:pos="2340"/>
        </w:tabs>
      </w:pPr>
      <w:r>
        <w:tab/>
      </w:r>
      <w:r w:rsidRPr="00B708BB">
        <w:t>2.</w:t>
      </w:r>
      <w:r w:rsidRPr="00B708BB">
        <w:tab/>
        <w:t>(New section)</w:t>
      </w:r>
      <w:r w:rsidRPr="00B708BB">
        <w:tab/>
      </w:r>
      <w:r w:rsidRPr="00B708BB">
        <w:rPr>
          <w:rFonts w:ascii="Albertus Extra Bold" w:hAnsi="Albertus Extra Bold"/>
          <w:b/>
          <w:vertAlign w:val="superscript"/>
        </w:rPr>
        <w:t>1</w:t>
      </w:r>
      <w:r w:rsidRPr="00B708BB">
        <w:rPr>
          <w:rFonts w:ascii="Albertus Extra Bold" w:hAnsi="Albertus Extra Bold"/>
          <w:b/>
        </w:rPr>
        <w:t>[</w:t>
      </w:r>
      <w:r w:rsidRPr="00B708BB">
        <w:t>Within 180 days of the effective date of P.L.,      c.    (C.        ) (pending before the Legislature as this bill)</w:t>
      </w:r>
      <w:r w:rsidRPr="00B708BB">
        <w:rPr>
          <w:rFonts w:ascii="Albertus Extra Bold" w:hAnsi="Albertus Extra Bold"/>
          <w:b/>
        </w:rPr>
        <w:t>]</w:t>
      </w:r>
      <w:r w:rsidRPr="00B708BB">
        <w:t xml:space="preserve"> </w:t>
      </w:r>
      <w:r w:rsidRPr="00B708BB">
        <w:rPr>
          <w:u w:val="single"/>
        </w:rPr>
        <w:t>In the 2021-2022 school year</w:t>
      </w:r>
      <w:r w:rsidRPr="00B708BB">
        <w:rPr>
          <w:rFonts w:ascii="Albertus Extra Bold" w:hAnsi="Albertus Extra Bold"/>
          <w:b/>
          <w:vertAlign w:val="superscript"/>
        </w:rPr>
        <w:t>1</w:t>
      </w:r>
      <w:r w:rsidRPr="00B708BB">
        <w:t xml:space="preserve">, a school district </w:t>
      </w:r>
      <w:r>
        <w:t>shall revise its written policy</w:t>
      </w:r>
      <w:r w:rsidRPr="00B708BB">
        <w:t xml:space="preserve"> established pursuant to section 3 of P.L.2010, c.94 (C.18A:40-41.3) to include the graduated, </w:t>
      </w:r>
      <w:r w:rsidRPr="00B708BB">
        <w:rPr>
          <w:rFonts w:ascii="Albertus Extra Bold" w:hAnsi="Albertus Extra Bold"/>
          <w:b/>
          <w:vertAlign w:val="superscript"/>
        </w:rPr>
        <w:t>1</w:t>
      </w:r>
      <w:r w:rsidRPr="00B708BB">
        <w:rPr>
          <w:rFonts w:ascii="Albertus Extra Bold" w:hAnsi="Albertus Extra Bold"/>
          <w:b/>
        </w:rPr>
        <w:t>[</w:t>
      </w:r>
      <w:r w:rsidRPr="00B708BB">
        <w:t>five-step</w:t>
      </w:r>
      <w:r w:rsidRPr="00B708BB">
        <w:rPr>
          <w:rFonts w:ascii="Albertus Extra Bold" w:hAnsi="Albertus Extra Bold"/>
          <w:b/>
        </w:rPr>
        <w:t>]</w:t>
      </w:r>
      <w:r w:rsidRPr="00B708BB">
        <w:t xml:space="preserve"> </w:t>
      </w:r>
      <w:r w:rsidRPr="00B708BB">
        <w:rPr>
          <w:u w:val="single"/>
        </w:rPr>
        <w:t>six-step</w:t>
      </w:r>
      <w:r w:rsidRPr="00B708BB">
        <w:rPr>
          <w:rFonts w:ascii="Albertus Extra Bold" w:hAnsi="Albertus Extra Bold"/>
          <w:b/>
          <w:vertAlign w:val="superscript"/>
        </w:rPr>
        <w:t>1</w:t>
      </w:r>
      <w:r w:rsidRPr="00B708BB">
        <w:t xml:space="preserve"> “Return to Play Progression” recommendations developed by the Centers for Disease Control and Prevention.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A school district shall revise its written policy established pursuant to </w:t>
      </w:r>
      <w:r w:rsidRPr="002659E6">
        <w:rPr>
          <w:u w:val="single"/>
        </w:rPr>
        <w:t>section 3 of P.L.2010, c.94 (C.18A:40-41.3) whenever the Centers for Disease Control and Prevention changes or otherwise updates the “Return to Play Progression” recommendations.</w:t>
      </w:r>
      <w:r>
        <w:rPr>
          <w:rFonts w:ascii="Albertus Extra Bold" w:hAnsi="Albertus Extra Bold"/>
          <w:b/>
          <w:vertAlign w:val="superscript"/>
        </w:rPr>
        <w:t>1</w:t>
      </w:r>
    </w:p>
    <w:p w:rsidR="00960F5B" w:rsidRDefault="00960F5B" w:rsidP="00960F5B">
      <w:pPr>
        <w:tabs>
          <w:tab w:val="left" w:pos="2340"/>
        </w:tabs>
      </w:pPr>
    </w:p>
    <w:p w:rsidR="00960F5B" w:rsidRPr="00B708BB" w:rsidRDefault="00960F5B" w:rsidP="00960F5B">
      <w:r>
        <w:tab/>
      </w:r>
      <w:r w:rsidRPr="00B708BB">
        <w:t>3.</w:t>
      </w:r>
      <w:r w:rsidRPr="00B708BB">
        <w:tab/>
        <w:t>Section 4 of P.L.2010, c.94 (C.18A:40-41.4) is amended to read as follows:</w:t>
      </w:r>
    </w:p>
    <w:p w:rsidR="00960F5B" w:rsidRPr="00B708BB" w:rsidRDefault="00960F5B" w:rsidP="00960F5B">
      <w:r w:rsidRPr="00B708BB">
        <w:tab/>
        <w:t>4.</w:t>
      </w:r>
      <w:r w:rsidRPr="00B708BB">
        <w:tab/>
        <w:t>A student who participates in an interscholastic sports program, intramural sports program, or cheerleading program and who sustains or is suspected of having sustained a concussion or other head injury while engaged in a competition or practice shall be immediately removed from the competition or practice.  A student-athlete or cheerleader who is removed from competition or practice shall not participate in further sports or cheerleading activity until</w:t>
      </w:r>
      <w:r w:rsidRPr="00B708BB">
        <w:rPr>
          <w:u w:val="single"/>
        </w:rPr>
        <w:t>:</w:t>
      </w:r>
    </w:p>
    <w:p w:rsidR="00960F5B" w:rsidRPr="00563EF1" w:rsidRDefault="00960F5B" w:rsidP="00960F5B">
      <w:pPr>
        <w:rPr>
          <w:u w:val="single"/>
        </w:rPr>
      </w:pPr>
      <w:r w:rsidRPr="00B708BB">
        <w:tab/>
      </w:r>
      <w:r w:rsidRPr="00563EF1">
        <w:rPr>
          <w:u w:val="single"/>
        </w:rPr>
        <w:t>a.</w:t>
      </w:r>
      <w:r w:rsidRPr="00563EF1">
        <w:tab/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rPr>
          <w:rFonts w:ascii="Albertus Extra Bold" w:hAnsi="Albertus Extra Bold"/>
          <w:b/>
        </w:rPr>
        <w:t>[</w:t>
      </w:r>
      <w:r w:rsidRPr="00563EF1">
        <w:t>he</w:t>
      </w:r>
      <w:r w:rsidRPr="00563EF1">
        <w:rPr>
          <w:rFonts w:ascii="Albertus Extra Bold" w:hAnsi="Albertus Extra Bold"/>
          <w:b/>
        </w:rPr>
        <w:t>]</w:t>
      </w:r>
      <w:r w:rsidRPr="00563EF1">
        <w:t xml:space="preserve"> </w:t>
      </w:r>
      <w:r w:rsidRPr="00563EF1">
        <w:rPr>
          <w:u w:val="single"/>
        </w:rPr>
        <w:t>the student-athlete or cheerleader</w:t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t xml:space="preserve"> is evaluated by a physician or other licensed healthcare provider trained in the evaluation and management of concussions, and receives written clearance from a physician trained in the evaluation and management of concussions to return to competition or practice</w:t>
      </w:r>
      <w:r w:rsidRPr="00563EF1">
        <w:rPr>
          <w:u w:val="single"/>
        </w:rPr>
        <w:t>; and</w:t>
      </w:r>
    </w:p>
    <w:p w:rsidR="00960F5B" w:rsidRPr="00563EF1" w:rsidRDefault="00960F5B" w:rsidP="00960F5B">
      <w:pPr>
        <w:rPr>
          <w:u w:val="single"/>
        </w:rPr>
      </w:pPr>
      <w:r w:rsidRPr="00563EF1">
        <w:tab/>
      </w:r>
      <w:r w:rsidRPr="00563EF1">
        <w:rPr>
          <w:u w:val="single"/>
        </w:rPr>
        <w:t>b.</w:t>
      </w:r>
      <w:r w:rsidRPr="00563EF1">
        <w:tab/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rPr>
          <w:rFonts w:ascii="Albertus Extra Bold" w:hAnsi="Albertus Extra Bold"/>
          <w:b/>
        </w:rPr>
        <w:t>[</w:t>
      </w:r>
      <w:r w:rsidRPr="00563EF1">
        <w:rPr>
          <w:u w:val="single"/>
        </w:rPr>
        <w:t>he</w:t>
      </w:r>
      <w:r w:rsidRPr="00563EF1">
        <w:rPr>
          <w:rFonts w:ascii="Albertus Extra Bold" w:hAnsi="Albertus Extra Bold"/>
          <w:b/>
        </w:rPr>
        <w:t>]</w:t>
      </w:r>
      <w:r w:rsidRPr="00563EF1">
        <w:t xml:space="preserve"> </w:t>
      </w:r>
      <w:r w:rsidRPr="00563EF1">
        <w:rPr>
          <w:u w:val="single"/>
        </w:rPr>
        <w:t>the student-athlete or cheerleader</w:t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t xml:space="preserve"> </w:t>
      </w:r>
      <w:r w:rsidRPr="00563EF1">
        <w:rPr>
          <w:u w:val="single"/>
        </w:rPr>
        <w:t>returns to regular school activities and is no longer experiencing symptoms of the injury when conducting those activities.</w:t>
      </w:r>
    </w:p>
    <w:p w:rsidR="00960F5B" w:rsidRPr="00B708BB" w:rsidRDefault="00960F5B" w:rsidP="00960F5B">
      <w:pPr>
        <w:rPr>
          <w:u w:val="single"/>
        </w:rPr>
      </w:pPr>
      <w:r w:rsidRPr="00563EF1">
        <w:tab/>
      </w:r>
      <w:r w:rsidRPr="00563EF1">
        <w:rPr>
          <w:u w:val="single"/>
        </w:rPr>
        <w:t>The return of a student-athlete or cheerleader to competition or practice shall be in accordance with the graduated,</w:t>
      </w:r>
      <w:r w:rsidRPr="00563EF1">
        <w:t xml:space="preserve"> </w:t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rPr>
          <w:rFonts w:ascii="Albertus Extra Bold" w:hAnsi="Albertus Extra Bold"/>
          <w:b/>
        </w:rPr>
        <w:t>[</w:t>
      </w:r>
      <w:r w:rsidRPr="00563EF1">
        <w:rPr>
          <w:u w:val="single"/>
        </w:rPr>
        <w:t>five-step</w:t>
      </w:r>
      <w:r w:rsidRPr="00563EF1">
        <w:rPr>
          <w:rFonts w:ascii="Albertus Extra Bold" w:hAnsi="Albertus Extra Bold"/>
          <w:b/>
        </w:rPr>
        <w:t>]</w:t>
      </w:r>
      <w:r w:rsidRPr="00563EF1">
        <w:t xml:space="preserve"> </w:t>
      </w:r>
      <w:r w:rsidRPr="00563EF1">
        <w:rPr>
          <w:u w:val="single"/>
        </w:rPr>
        <w:t>six-step</w:t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t xml:space="preserve"> </w:t>
      </w:r>
      <w:r w:rsidRPr="00563EF1">
        <w:rPr>
          <w:u w:val="single"/>
        </w:rPr>
        <w:t>“Return to Play Progression” recommendations</w:t>
      </w:r>
      <w:r w:rsidRPr="00563EF1">
        <w:t xml:space="preserve"> </w:t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rPr>
          <w:u w:val="single"/>
        </w:rPr>
        <w:t>and any subsequent changes or other updates to those recommendations as</w:t>
      </w:r>
      <w:r w:rsidRPr="00563EF1">
        <w:rPr>
          <w:rFonts w:ascii="Albertus Extra Bold" w:hAnsi="Albertus Extra Bold"/>
          <w:b/>
          <w:vertAlign w:val="superscript"/>
        </w:rPr>
        <w:t>1</w:t>
      </w:r>
      <w:r w:rsidRPr="00563EF1">
        <w:t xml:space="preserve"> </w:t>
      </w:r>
      <w:r w:rsidRPr="00563EF1">
        <w:rPr>
          <w:u w:val="single"/>
        </w:rPr>
        <w:t>developed by the Centers for Disease Control and Prevention</w:t>
      </w:r>
      <w:r w:rsidRPr="00563EF1">
        <w:t>.</w:t>
      </w:r>
    </w:p>
    <w:p w:rsidR="00960F5B" w:rsidRPr="00B708BB" w:rsidRDefault="00960F5B" w:rsidP="00960F5B">
      <w:r w:rsidRPr="00B708BB">
        <w:t>(</w:t>
      </w:r>
      <w:proofErr w:type="spellStart"/>
      <w:r w:rsidRPr="00B708BB">
        <w:t>cf</w:t>
      </w:r>
      <w:proofErr w:type="spellEnd"/>
      <w:r w:rsidRPr="00B708BB">
        <w:t>: P.L.2017, c.105, s.2)</w:t>
      </w:r>
    </w:p>
    <w:p w:rsidR="00AE4144" w:rsidRPr="00D71D68" w:rsidRDefault="00AE4144" w:rsidP="00AE4144"/>
    <w:p w:rsidR="00AE4144" w:rsidRPr="00AA7880" w:rsidRDefault="00AE4144" w:rsidP="00AE4144">
      <w:r>
        <w:tab/>
        <w:t>4.</w:t>
      </w:r>
      <w:r>
        <w:tab/>
        <w:t>This act shall take effect immediately.</w:t>
      </w:r>
    </w:p>
    <w:sectPr w:rsidR="00AE4144" w:rsidRPr="00AA7880" w:rsidSect="002C48C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44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732" w:rsidRDefault="00167732">
      <w:r>
        <w:separator/>
      </w:r>
    </w:p>
  </w:endnote>
  <w:endnote w:type="continuationSeparator" w:id="0">
    <w:p w:rsidR="00167732" w:rsidRDefault="001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238" w:rsidRDefault="006A4475" w:rsidP="006A4475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2C" w:rsidRDefault="00AD1B2C">
    <w:pPr>
      <w:pStyle w:val="Footer"/>
      <w:rPr>
        <w:szCs w:val="18"/>
      </w:rPr>
    </w:pPr>
  </w:p>
  <w:p w:rsidR="00D00E39" w:rsidRPr="00921C91" w:rsidRDefault="00D00E3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00E39" w:rsidRPr="00921C91" w:rsidRDefault="00D00E39">
    <w:pPr>
      <w:pStyle w:val="Footer"/>
      <w:rPr>
        <w:szCs w:val="18"/>
      </w:rPr>
    </w:pPr>
  </w:p>
  <w:p w:rsidR="00960F5B" w:rsidRDefault="00D00E3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="00960F5B">
      <w:rPr>
        <w:szCs w:val="18"/>
      </w:rPr>
      <w:t xml:space="preserve"> is new matter</w:t>
    </w:r>
  </w:p>
  <w:p w:rsidR="00960F5B" w:rsidRDefault="00960F5B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960F5B" w:rsidRDefault="00960F5B">
    <w:pPr>
      <w:pStyle w:val="Footer"/>
      <w:rPr>
        <w:rFonts w:ascii="AlbertusExtraBold" w:hAnsi="AlbertusExtraBold"/>
        <w:szCs w:val="18"/>
      </w:rPr>
    </w:pPr>
    <w:r>
      <w:rPr>
        <w:szCs w:val="18"/>
      </w:rPr>
      <w:tab/>
    </w:r>
    <w:r>
      <w:rPr>
        <w:rFonts w:ascii="AlbertusExtraBold" w:hAnsi="AlbertusExtraBold"/>
        <w:szCs w:val="18"/>
        <w:vertAlign w:val="superscript"/>
      </w:rPr>
      <w:t>1</w:t>
    </w:r>
    <w:r>
      <w:rPr>
        <w:rFonts w:ascii="AlbertusExtraBold" w:hAnsi="AlbertusExtraBold"/>
        <w:szCs w:val="18"/>
      </w:rPr>
      <w:t>Assembly AED committee amendments adopted May 12,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732" w:rsidRDefault="00167732">
      <w:r>
        <w:separator/>
      </w:r>
    </w:p>
  </w:footnote>
  <w:footnote w:type="continuationSeparator" w:id="0">
    <w:p w:rsidR="00167732" w:rsidRDefault="001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8143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00E39" w:rsidRDefault="00D00E39" w:rsidP="00D00E39">
    <w:pPr>
      <w:pStyle w:val="bpuHeadSpon"/>
    </w:pPr>
    <w:r w:rsidRPr="00D00E39">
      <w:rPr>
        <w:rStyle w:val="bpuHeadSponChar"/>
      </w:rPr>
      <w:t>A679</w:t>
    </w:r>
    <w:r>
      <w:t xml:space="preserve"> </w:t>
    </w:r>
    <w:r w:rsidR="00960F5B">
      <w:t xml:space="preserve">[1R] </w:t>
    </w:r>
    <w:r>
      <w:t>VAINIERI HUTTLE, MUKHERJI</w:t>
    </w:r>
  </w:p>
  <w:p w:rsidR="00D00E39" w:rsidRDefault="00D00E39" w:rsidP="00D00E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81437">
      <w:rPr>
        <w:noProof/>
      </w:rPr>
      <w:t>3</w:t>
    </w:r>
    <w:r>
      <w:fldChar w:fldCharType="end"/>
    </w:r>
  </w:p>
  <w:p w:rsidR="00D00E39" w:rsidRPr="00AF575C" w:rsidRDefault="00D00E39" w:rsidP="00D00E3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00E39" w:rsidRDefault="00D00E39" w:rsidP="00D00E39">
    <w:pPr>
      <w:pStyle w:val="bpuHeadSpon"/>
    </w:pPr>
    <w:r w:rsidRPr="00D00E39">
      <w:rPr>
        <w:rStyle w:val="bpuHeadSponChar"/>
      </w:rPr>
      <w:t>A679</w:t>
    </w:r>
    <w:r>
      <w:t xml:space="preserve"> </w:t>
    </w:r>
    <w:r w:rsidR="00960F5B">
      <w:t xml:space="preserve">[1R] </w:t>
    </w:r>
    <w:r>
      <w:t>VAINIERI HUTTLE, MUKHERJI</w:t>
    </w:r>
  </w:p>
  <w:p w:rsidR="00D00E39" w:rsidRDefault="00D00E39" w:rsidP="00D00E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81437">
      <w:rPr>
        <w:noProof/>
      </w:rPr>
      <w:t>2</w:t>
    </w:r>
    <w:r>
      <w:fldChar w:fldCharType="end"/>
    </w:r>
  </w:p>
  <w:p w:rsidR="00D00E39" w:rsidRDefault="00D00E39" w:rsidP="00D00E3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3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3B94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7732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3DA2"/>
    <w:rsid w:val="00266FB9"/>
    <w:rsid w:val="00274341"/>
    <w:rsid w:val="0028159B"/>
    <w:rsid w:val="00296363"/>
    <w:rsid w:val="002A16E7"/>
    <w:rsid w:val="002A71FA"/>
    <w:rsid w:val="002B4DA4"/>
    <w:rsid w:val="002B67F7"/>
    <w:rsid w:val="002C48C1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5851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6D18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5313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1A29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A4475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5867"/>
    <w:rsid w:val="007676EB"/>
    <w:rsid w:val="0076794B"/>
    <w:rsid w:val="00771F97"/>
    <w:rsid w:val="00772A40"/>
    <w:rsid w:val="0077700A"/>
    <w:rsid w:val="00795238"/>
    <w:rsid w:val="0079623B"/>
    <w:rsid w:val="007A0026"/>
    <w:rsid w:val="007B6038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0F5B"/>
    <w:rsid w:val="00966445"/>
    <w:rsid w:val="00967FED"/>
    <w:rsid w:val="00980A56"/>
    <w:rsid w:val="00981437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1B2C"/>
    <w:rsid w:val="00AD7C41"/>
    <w:rsid w:val="00AE1E57"/>
    <w:rsid w:val="00AE4144"/>
    <w:rsid w:val="00AF6ECE"/>
    <w:rsid w:val="00B00B00"/>
    <w:rsid w:val="00B034C1"/>
    <w:rsid w:val="00B0560C"/>
    <w:rsid w:val="00B073FE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E2D6C"/>
    <w:rsid w:val="00BF23C7"/>
    <w:rsid w:val="00BF7456"/>
    <w:rsid w:val="00C035F3"/>
    <w:rsid w:val="00C078A1"/>
    <w:rsid w:val="00C3401C"/>
    <w:rsid w:val="00C473B8"/>
    <w:rsid w:val="00C603F9"/>
    <w:rsid w:val="00C614C5"/>
    <w:rsid w:val="00C7470C"/>
    <w:rsid w:val="00C83317"/>
    <w:rsid w:val="00C937A1"/>
    <w:rsid w:val="00C93F56"/>
    <w:rsid w:val="00CB344E"/>
    <w:rsid w:val="00CF2757"/>
    <w:rsid w:val="00CF2761"/>
    <w:rsid w:val="00CF506C"/>
    <w:rsid w:val="00CF7045"/>
    <w:rsid w:val="00D00E39"/>
    <w:rsid w:val="00D0612B"/>
    <w:rsid w:val="00D06296"/>
    <w:rsid w:val="00D0784A"/>
    <w:rsid w:val="00D1236F"/>
    <w:rsid w:val="00D1283E"/>
    <w:rsid w:val="00D158BB"/>
    <w:rsid w:val="00D169D8"/>
    <w:rsid w:val="00D209A5"/>
    <w:rsid w:val="00D23780"/>
    <w:rsid w:val="00D31191"/>
    <w:rsid w:val="00D3319A"/>
    <w:rsid w:val="00D33F23"/>
    <w:rsid w:val="00D34C64"/>
    <w:rsid w:val="00D34D11"/>
    <w:rsid w:val="00D41401"/>
    <w:rsid w:val="00D57B94"/>
    <w:rsid w:val="00D6038F"/>
    <w:rsid w:val="00D60E11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A92D4A"/>
  <w15:docId w15:val="{A2CEDAF4-2602-4B33-A1E0-905CB9BA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00E39"/>
  </w:style>
  <w:style w:type="paragraph" w:styleId="BalloonText">
    <w:name w:val="Balloon Text"/>
    <w:basedOn w:val="Normal"/>
    <w:link w:val="BalloonTextChar"/>
    <w:semiHidden/>
    <w:unhideWhenUsed/>
    <w:rsid w:val="00AD1B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1B2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18BD-A0CE-414A-9A47-0305BA01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527</Words>
  <Characters>3122</Characters>
  <Application>Microsoft Office Word</Application>
  <DocSecurity>0</DocSecurity>
  <Lines>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A679 1R</vt:lpstr>
    </vt:vector>
  </TitlesOfParts>
  <Manager>R224</Manager>
  <Company>OFFICE of LEGISLATIVE SERVICES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A679 1R</dc:title>
  <dc:creator>Assemblywoman  VAINIERI HUTTLE, Assemblyman  MUKHERJI</dc:creator>
  <cp:keywords>A679|3|ER |302|316|302|!||</cp:keywords>
  <dc:description>PREFILED 2020_x000d_
T/R 5/12/21_x000d_
Amended 5/12/21</dc:description>
  <cp:lastModifiedBy>Todaro, Vivian</cp:lastModifiedBy>
  <cp:revision>2</cp:revision>
  <cp:lastPrinted>2021-06-22T19:00:00Z</cp:lastPrinted>
  <dcterms:created xsi:type="dcterms:W3CDTF">2021-06-22T19:00:00Z</dcterms:created>
  <dcterms:modified xsi:type="dcterms:W3CDTF">2021-06-22T19:00:00Z</dcterms:modified>
  <cp:category>s.1: C.18A:40-41.2a s.2: C.18A:40-41.3a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