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5ADB" w:rsidRDefault="00FB5ADB" w:rsidP="00FB5ADB">
      <w:pPr>
        <w:pStyle w:val="bpuBill"/>
      </w:pPr>
      <w:bookmarkStart w:id="0" w:name="bpuFrontPg"/>
      <w:bookmarkStart w:id="1" w:name="_GoBack"/>
      <w:bookmarkEnd w:id="0"/>
      <w:bookmarkEnd w:id="1"/>
      <w:r>
        <w:t xml:space="preserve">ASSEMBLY, No. 777 </w:t>
      </w:r>
    </w:p>
    <w:p w:rsidR="00FB5ADB" w:rsidRPr="00FB5ADB" w:rsidRDefault="00FB5ADB" w:rsidP="00FB5A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138" r:id="rId8"/>
        </w:object>
      </w:r>
    </w:p>
    <w:p w:rsidR="00FB5ADB" w:rsidRDefault="00FB5ADB" w:rsidP="00FB5ADB">
      <w:pPr>
        <w:pStyle w:val="bpuState"/>
      </w:pPr>
      <w:r>
        <w:t>STATE OF NEW JERSEY</w:t>
      </w:r>
    </w:p>
    <w:p w:rsidR="00FB5ADB" w:rsidRDefault="00FB5ADB" w:rsidP="00FB5ADB">
      <w:pPr>
        <w:pStyle w:val="bpuLegislature"/>
      </w:pPr>
      <w:r>
        <w:t>219th LEGISLATURE</w:t>
      </w:r>
    </w:p>
    <w:p w:rsidR="00FB5ADB" w:rsidRDefault="00FB5ADB" w:rsidP="00FB5ADB">
      <w:pPr>
        <w:pStyle w:val="bpuWpGraphic"/>
      </w:pPr>
      <w:r>
        <w:object w:dxaOrig="8985" w:dyaOrig="255">
          <v:shape id="_x0000_i1026" type="#_x0000_t75" style="width:6in;height:12pt" o:ole="">
            <v:imagedata r:id="rId7" o:title=""/>
          </v:shape>
          <o:OLEObject Type="Embed" ProgID="WPWin6.1" ShapeID="_x0000_i1026" DrawAspect="Content" ObjectID="_1638956139" r:id="rId9"/>
        </w:object>
      </w:r>
      <w:r>
        <w:t xml:space="preserve">  </w:t>
      </w:r>
    </w:p>
    <w:p w:rsidR="00FB5ADB" w:rsidRDefault="00FB5ADB" w:rsidP="00FB5ADB">
      <w:pPr>
        <w:pStyle w:val="bpuIntro"/>
      </w:pPr>
      <w:r>
        <w:t>PRE-FILED FOR INTRODUCTION IN THE 2020 SESSION</w:t>
      </w:r>
    </w:p>
    <w:p w:rsidR="00FB5ADB" w:rsidRDefault="00FB5ADB" w:rsidP="00FB5ADB">
      <w:pPr>
        <w:pStyle w:val="bpuIntro"/>
      </w:pPr>
    </w:p>
    <w:p w:rsidR="00FB5ADB" w:rsidRDefault="00FB5ADB" w:rsidP="00FB5ADB">
      <w:pPr>
        <w:pStyle w:val="bpuIntro"/>
        <w:sectPr w:rsidR="00FB5ADB" w:rsidSect="00FB5ADB">
          <w:headerReference w:type="even" r:id="rId10"/>
          <w:headerReference w:type="default" r:id="rId11"/>
          <w:pgSz w:w="12240" w:h="20160" w:code="5"/>
          <w:pgMar w:top="2160" w:right="1440" w:bottom="1440" w:left="1440" w:header="720" w:footer="720" w:gutter="0"/>
          <w:pgNumType w:start="1"/>
          <w:cols w:space="720"/>
          <w:docGrid w:linePitch="360"/>
        </w:sectPr>
      </w:pPr>
    </w:p>
    <w:p w:rsidR="00FB5ADB" w:rsidRDefault="00FB5ADB" w:rsidP="00FB5ADB">
      <w:pPr>
        <w:pStyle w:val="bpuIntro"/>
      </w:pPr>
    </w:p>
    <w:p w:rsidR="00FB5ADB" w:rsidRDefault="00FB5ADB" w:rsidP="00FB5ADB">
      <w:pPr>
        <w:pStyle w:val="bpuSponsor"/>
      </w:pPr>
      <w:r>
        <w:t>Sponsored by:</w:t>
      </w:r>
    </w:p>
    <w:p w:rsidR="00FB5ADB" w:rsidRDefault="00FB5ADB" w:rsidP="00FB5ADB">
      <w:pPr>
        <w:pStyle w:val="bpuSponsor"/>
      </w:pPr>
      <w:r>
        <w:t>Assemblyman  BRIAN E. RUMPF</w:t>
      </w:r>
    </w:p>
    <w:p w:rsidR="00FB5ADB" w:rsidRDefault="00FB5ADB" w:rsidP="00FB5ADB">
      <w:pPr>
        <w:pStyle w:val="bpuSponsor"/>
      </w:pPr>
      <w:r>
        <w:t>District 9 (Atlantic, Burlington and Ocean)</w:t>
      </w:r>
    </w:p>
    <w:p w:rsidR="00FB5ADB" w:rsidRDefault="00FB5ADB" w:rsidP="00FB5ADB">
      <w:pPr>
        <w:pStyle w:val="bpuSponsor"/>
      </w:pPr>
      <w:r>
        <w:t>Assemblywoman  DIANNE C. GOVE</w:t>
      </w:r>
    </w:p>
    <w:p w:rsidR="00FB5ADB" w:rsidRDefault="00FB5ADB" w:rsidP="00FB5ADB">
      <w:pPr>
        <w:pStyle w:val="bpuSponsor"/>
      </w:pPr>
      <w:r>
        <w:t>District 9 (Atlantic, Burlington and Ocean)</w:t>
      </w:r>
    </w:p>
    <w:p w:rsidR="00FB5ADB" w:rsidRDefault="00FB5ADB" w:rsidP="00FB5ADB">
      <w:pPr>
        <w:pStyle w:val="bpuSponsor"/>
      </w:pPr>
    </w:p>
    <w:p w:rsidR="00FB5ADB" w:rsidRDefault="00FB5ADB" w:rsidP="00FB5ADB">
      <w:pPr>
        <w:pStyle w:val="bpuSponsor"/>
      </w:pPr>
    </w:p>
    <w:p w:rsidR="00FB5ADB" w:rsidRDefault="00FB5ADB" w:rsidP="00FB5ADB">
      <w:pPr>
        <w:pStyle w:val="bpuSponsor"/>
      </w:pPr>
    </w:p>
    <w:p w:rsidR="00FB5ADB" w:rsidRDefault="00FB5ADB" w:rsidP="00FB5ADB">
      <w:pPr>
        <w:pStyle w:val="bpuSponsor"/>
      </w:pPr>
    </w:p>
    <w:p w:rsidR="00FB5ADB" w:rsidRDefault="00FB5ADB" w:rsidP="00FB5ADB">
      <w:pPr>
        <w:pStyle w:val="bpuSponsor"/>
      </w:pPr>
      <w:r>
        <w:t>SYNOPSIS</w:t>
      </w:r>
    </w:p>
    <w:p w:rsidR="00FB5ADB" w:rsidRDefault="00FB5ADB" w:rsidP="00FB5ADB">
      <w:pPr>
        <w:pStyle w:val="bpuNormText"/>
      </w:pPr>
      <w:r>
        <w:tab/>
        <w:t xml:space="preserve">Prevents intoxicated employees from receiving workers’ compensation. </w:t>
      </w:r>
    </w:p>
    <w:p w:rsidR="00FB5ADB" w:rsidRDefault="00FB5ADB" w:rsidP="00FB5ADB">
      <w:pPr>
        <w:pStyle w:val="bpuNormText"/>
      </w:pPr>
    </w:p>
    <w:p w:rsidR="00FB5ADB" w:rsidRDefault="00FB5ADB" w:rsidP="00FB5ADB">
      <w:pPr>
        <w:pStyle w:val="bpuSponsor"/>
      </w:pPr>
      <w:r>
        <w:t xml:space="preserve">CURRENT VERSION OF TEXT </w:t>
      </w:r>
    </w:p>
    <w:p w:rsidR="00FB5ADB" w:rsidRDefault="00FB5ADB" w:rsidP="00FB5ADB">
      <w:pPr>
        <w:pStyle w:val="bpuNormText"/>
      </w:pPr>
      <w:r>
        <w:tab/>
        <w:t>Introduced Pending Technical Review by Legislative Counsel.</w:t>
      </w:r>
    </w:p>
    <w:p w:rsidR="00FB5ADB" w:rsidRDefault="00FB5ADB" w:rsidP="00FB5A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B5ADB" w:rsidRDefault="00FB5A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B5ADB" w:rsidSect="00FB5ADB">
          <w:type w:val="continuous"/>
          <w:pgSz w:w="12240" w:h="20160" w:code="5"/>
          <w:pgMar w:top="2160" w:right="2275" w:bottom="1440" w:left="2275" w:header="72" w:footer="720" w:gutter="0"/>
          <w:pgNumType w:start="1"/>
          <w:cols w:space="720"/>
          <w:docGrid w:linePitch="360"/>
        </w:sectPr>
      </w:pPr>
    </w:p>
    <w:p w:rsidR="0066003D" w:rsidRPr="00677316" w:rsidRDefault="0066003D" w:rsidP="0066003D">
      <w:pPr>
        <w:pStyle w:val="HangingAnAct"/>
        <w:rPr>
          <w:rStyle w:val="HangingAnActChar"/>
        </w:rPr>
      </w:pPr>
      <w:r w:rsidRPr="0066003D">
        <w:rPr>
          <w:rStyle w:val="BillHead"/>
        </w:rPr>
        <w:lastRenderedPageBreak/>
        <w:t>An Act</w:t>
      </w:r>
      <w:r w:rsidRPr="006B7FA7">
        <w:rPr>
          <w:rStyle w:val="HangingAnActChar"/>
        </w:rPr>
        <w:t xml:space="preserve"> </w:t>
      </w:r>
      <w:r>
        <w:rPr>
          <w:rStyle w:val="HangingAnActChar"/>
        </w:rPr>
        <w:t>preventing intoxicated employees from receiving workers’ compensation and amending R.S.34:15-7.</w:t>
      </w:r>
    </w:p>
    <w:p w:rsidR="0066003D" w:rsidRPr="00D71D68" w:rsidRDefault="0066003D" w:rsidP="0066003D"/>
    <w:p w:rsidR="0066003D" w:rsidRPr="00AA7880" w:rsidRDefault="0066003D" w:rsidP="0066003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PlaceType">
          <w:r>
            <w:rPr>
              <w:rStyle w:val="BillLanguage"/>
            </w:rPr>
            <w:t>New Jersey</w:t>
          </w:r>
        </w:smartTag>
      </w:smartTag>
      <w:r>
        <w:rPr>
          <w:rStyle w:val="BillLanguage"/>
        </w:rPr>
        <w:t>:</w:t>
      </w:r>
    </w:p>
    <w:p w:rsidR="0066003D" w:rsidRPr="00D71D68" w:rsidRDefault="0066003D" w:rsidP="0066003D"/>
    <w:p w:rsidR="0066003D" w:rsidRPr="00972CCF" w:rsidRDefault="0066003D" w:rsidP="0066003D">
      <w:r>
        <w:tab/>
        <w:t>1.</w:t>
      </w:r>
      <w:r>
        <w:tab/>
      </w:r>
      <w:r w:rsidRPr="0093541A">
        <w:t>R.S.34:15-7</w:t>
      </w:r>
      <w:r>
        <w:t xml:space="preserve"> is amended to read as follows:</w:t>
      </w:r>
    </w:p>
    <w:p w:rsidR="0066003D" w:rsidRDefault="0066003D" w:rsidP="0066003D">
      <w:pPr>
        <w:rPr>
          <w:u w:val="single"/>
        </w:rPr>
      </w:pPr>
      <w:r>
        <w:tab/>
        <w:t xml:space="preserve">R.S.34:15-7. </w:t>
      </w:r>
      <w:r>
        <w:rPr>
          <w:u w:val="single"/>
        </w:rPr>
        <w:t>a.</w:t>
      </w:r>
      <w:r>
        <w:t xml:space="preserve"> When employer and employee shall by agreement, either express or implied, as hereinafter provided, accept the provisions of this article compensation for personal injuries to, or for the death of, such employee by accident arising out of and in the course of employment shall be made by the employer without  regard to the negligence of the employer, according to the schedule contained in </w:t>
      </w:r>
      <w:r w:rsidRPr="00D1277F">
        <w:rPr>
          <w:rFonts w:ascii="Albertus Extra Bold" w:hAnsi="Albertus Extra Bold"/>
          <w:b/>
        </w:rPr>
        <w:t>[</w:t>
      </w:r>
      <w:r>
        <w:t>sections</w:t>
      </w:r>
      <w:r w:rsidRPr="00D1277F">
        <w:rPr>
          <w:rFonts w:ascii="Albertus Extra Bold" w:hAnsi="Albertus Extra Bold"/>
          <w:b/>
        </w:rPr>
        <w:t>]</w:t>
      </w:r>
      <w:r>
        <w:t xml:space="preserve"> </w:t>
      </w:r>
      <w:r>
        <w:rPr>
          <w:u w:val="single"/>
        </w:rPr>
        <w:t>R.S.</w:t>
      </w:r>
      <w:r>
        <w:t xml:space="preserve">34:15-12 and </w:t>
      </w:r>
      <w:r>
        <w:rPr>
          <w:u w:val="single"/>
        </w:rPr>
        <w:t>R.S.</w:t>
      </w:r>
      <w:r>
        <w:t xml:space="preserve">34:15-13 </w:t>
      </w:r>
      <w:r w:rsidRPr="00D1277F">
        <w:rPr>
          <w:rFonts w:ascii="Albertus Extra Bold" w:hAnsi="Albertus Extra Bold"/>
          <w:b/>
        </w:rPr>
        <w:t>[</w:t>
      </w:r>
      <w:r>
        <w:t>of this Title</w:t>
      </w:r>
      <w:r w:rsidRPr="00D1277F">
        <w:rPr>
          <w:rFonts w:ascii="Albertus Extra Bold" w:hAnsi="Albertus Extra Bold"/>
          <w:b/>
        </w:rPr>
        <w:t>]</w:t>
      </w:r>
      <w:r>
        <w:t xml:space="preserve"> in all cases </w:t>
      </w:r>
      <w:r w:rsidRPr="006519C0">
        <w:rPr>
          <w:rFonts w:ascii="Albertus Extra Bold" w:hAnsi="Albertus Extra Bold"/>
          <w:b/>
        </w:rPr>
        <w:t>[</w:t>
      </w:r>
      <w:r>
        <w:t>except when</w:t>
      </w:r>
      <w:r w:rsidRPr="00F61461">
        <w:rPr>
          <w:rFonts w:ascii="Albertus Extra Bold" w:hAnsi="Albertus Extra Bold"/>
          <w:b/>
        </w:rPr>
        <w:t>]</w:t>
      </w:r>
      <w:r>
        <w:t xml:space="preserve"> </w:t>
      </w:r>
      <w:r w:rsidRPr="006519C0">
        <w:rPr>
          <w:u w:val="single"/>
        </w:rPr>
        <w:t>unless</w:t>
      </w:r>
      <w:r>
        <w:rPr>
          <w:u w:val="single"/>
        </w:rPr>
        <w:t>:</w:t>
      </w:r>
    </w:p>
    <w:p w:rsidR="0066003D" w:rsidRDefault="0066003D" w:rsidP="0066003D">
      <w:pPr>
        <w:rPr>
          <w:u w:val="single"/>
        </w:rPr>
      </w:pPr>
      <w:r>
        <w:tab/>
      </w:r>
      <w:r>
        <w:rPr>
          <w:u w:val="single"/>
        </w:rPr>
        <w:t>(1)</w:t>
      </w:r>
      <w:r>
        <w:tab/>
        <w:t>the injury or death is intentionally self-inflicted</w:t>
      </w:r>
      <w:r w:rsidRPr="00ED763C">
        <w:rPr>
          <w:rFonts w:ascii="Albertus Extra Bold" w:hAnsi="Albertus Extra Bold"/>
          <w:b/>
        </w:rPr>
        <w:t>[</w:t>
      </w:r>
      <w:r>
        <w:t>, or when intoxication or</w:t>
      </w:r>
      <w:r w:rsidRPr="00491CE4">
        <w:rPr>
          <w:rFonts w:ascii="Albertus Extra Bold" w:hAnsi="Albertus Extra Bold"/>
          <w:b/>
        </w:rPr>
        <w:t>]</w:t>
      </w:r>
      <w:r>
        <w:rPr>
          <w:u w:val="single"/>
        </w:rPr>
        <w:t>;</w:t>
      </w:r>
    </w:p>
    <w:p w:rsidR="0066003D" w:rsidRDefault="0066003D" w:rsidP="0066003D">
      <w:pPr>
        <w:rPr>
          <w:u w:val="single"/>
        </w:rPr>
      </w:pPr>
      <w:r>
        <w:tab/>
      </w:r>
      <w:r w:rsidRPr="00ED763C">
        <w:rPr>
          <w:u w:val="single"/>
        </w:rPr>
        <w:t>(</w:t>
      </w:r>
      <w:r>
        <w:rPr>
          <w:u w:val="single"/>
        </w:rPr>
        <w:t>2)</w:t>
      </w:r>
      <w:r>
        <w:rPr>
          <w:u w:val="single"/>
        </w:rPr>
        <w:tab/>
        <w:t>the injury or death occurs as a result of intoxication;</w:t>
      </w:r>
    </w:p>
    <w:p w:rsidR="0066003D" w:rsidRDefault="0066003D" w:rsidP="0066003D">
      <w:pPr>
        <w:rPr>
          <w:u w:val="single"/>
        </w:rPr>
      </w:pPr>
      <w:r>
        <w:tab/>
      </w:r>
      <w:r>
        <w:rPr>
          <w:u w:val="single"/>
        </w:rPr>
        <w:t>(3)</w:t>
      </w:r>
      <w:r>
        <w:rPr>
          <w:u w:val="single"/>
        </w:rPr>
        <w:tab/>
        <w:t>the intoxication is a material contributing factor to the injury or death;</w:t>
      </w:r>
    </w:p>
    <w:p w:rsidR="0066003D" w:rsidRDefault="0066003D" w:rsidP="0066003D">
      <w:r>
        <w:tab/>
      </w:r>
      <w:r>
        <w:rPr>
          <w:u w:val="single"/>
        </w:rPr>
        <w:t>(4)</w:t>
      </w:r>
      <w:r>
        <w:tab/>
        <w:t xml:space="preserve">the unlawful use of controlled dangerous substances as defined in the "New Jersey Controlled Dangerous Substances Act," P.L.1970, c.266 (C.24:21-1 et seq.), </w:t>
      </w:r>
      <w:r w:rsidRPr="00FA3635">
        <w:rPr>
          <w:rFonts w:ascii="Albertus Extra Bold" w:hAnsi="Albertus Extra Bold"/>
          <w:b/>
        </w:rPr>
        <w:t>[</w:t>
      </w:r>
      <w:r>
        <w:t>or</w:t>
      </w:r>
      <w:r w:rsidRPr="00FA3635">
        <w:rPr>
          <w:rFonts w:ascii="Albertus Extra Bold" w:hAnsi="Albertus Extra Bold"/>
          <w:b/>
        </w:rPr>
        <w:t>]</w:t>
      </w:r>
      <w:r>
        <w:t xml:space="preserve"> </w:t>
      </w:r>
      <w:r>
        <w:rPr>
          <w:u w:val="single"/>
        </w:rPr>
        <w:t>is a natural and proximate cause of the injury or death;</w:t>
      </w:r>
    </w:p>
    <w:p w:rsidR="0066003D" w:rsidRDefault="0066003D" w:rsidP="0066003D">
      <w:r>
        <w:tab/>
      </w:r>
      <w:r>
        <w:rPr>
          <w:u w:val="single"/>
        </w:rPr>
        <w:t>(5)</w:t>
      </w:r>
      <w:r>
        <w:rPr>
          <w:u w:val="single"/>
        </w:rPr>
        <w:tab/>
        <w:t>the</w:t>
      </w:r>
      <w:r>
        <w:t xml:space="preserve"> willful failure to make use of a reasonable and proper personal protective device or devices furnished by the employer, which has or have been clearly made a requirement of the employee's employment by the employer and uniformly enforced and which an employer can properly document that despite repeated warnings, the employee has willfully failed to properly and effectively utilize, is the natural and proximate cause of injury or death provided, however, </w:t>
      </w:r>
      <w:r w:rsidRPr="00FA3635">
        <w:rPr>
          <w:rFonts w:ascii="Albertus Extra Bold" w:hAnsi="Albertus Extra Bold"/>
          <w:b/>
        </w:rPr>
        <w:t>[</w:t>
      </w:r>
      <w:r>
        <w:t>this latter provision</w:t>
      </w:r>
      <w:r w:rsidRPr="00FA3635">
        <w:rPr>
          <w:rFonts w:ascii="Albertus Extra Bold" w:hAnsi="Albertus Extra Bold"/>
          <w:b/>
        </w:rPr>
        <w:t>]</w:t>
      </w:r>
      <w:r>
        <w:t xml:space="preserve"> </w:t>
      </w:r>
      <w:r>
        <w:rPr>
          <w:u w:val="single"/>
        </w:rPr>
        <w:t>that the provisions of this paragraph (5)</w:t>
      </w:r>
      <w:r w:rsidRPr="00FA3635">
        <w:t xml:space="preserve"> </w:t>
      </w:r>
      <w:r>
        <w:t>shall not apply where there is such imminent danger or need for immediate action which does not allow for appropriate use of personal protective device or devices, and the burden of the proof of such fact shall be upon the employer</w:t>
      </w:r>
      <w:r>
        <w:rPr>
          <w:u w:val="single"/>
        </w:rPr>
        <w:t>;</w:t>
      </w:r>
      <w:r>
        <w:t xml:space="preserve"> or </w:t>
      </w:r>
      <w:r w:rsidRPr="002A7D2E">
        <w:rPr>
          <w:rFonts w:ascii="Albertus Extra Bold" w:hAnsi="Albertus Extra Bold"/>
          <w:b/>
        </w:rPr>
        <w:t>[</w:t>
      </w:r>
      <w:r>
        <w:t>when</w:t>
      </w:r>
      <w:r w:rsidRPr="002A7D2E">
        <w:rPr>
          <w:rFonts w:ascii="Albertus Extra Bold" w:hAnsi="Albertus Extra Bold"/>
          <w:b/>
        </w:rPr>
        <w:t>]</w:t>
      </w:r>
    </w:p>
    <w:p w:rsidR="0066003D" w:rsidRDefault="0066003D" w:rsidP="0066003D">
      <w:r>
        <w:tab/>
      </w:r>
      <w:r>
        <w:rPr>
          <w:u w:val="single"/>
        </w:rPr>
        <w:t>(6)</w:t>
      </w:r>
      <w:r>
        <w:tab/>
        <w:t xml:space="preserve">recreational or social activities, </w:t>
      </w:r>
      <w:r w:rsidRPr="002A7D2E">
        <w:rPr>
          <w:rFonts w:ascii="Albertus Extra Bold" w:hAnsi="Albertus Extra Bold"/>
          <w:b/>
        </w:rPr>
        <w:t>[</w:t>
      </w:r>
      <w:r>
        <w:t>unless such</w:t>
      </w:r>
      <w:r w:rsidRPr="008D5568">
        <w:rPr>
          <w:rFonts w:ascii="Albertus Extra Bold" w:hAnsi="Albertus Extra Bold"/>
          <w:b/>
        </w:rPr>
        <w:t>]</w:t>
      </w:r>
      <w:r>
        <w:t xml:space="preserve"> </w:t>
      </w:r>
      <w:r>
        <w:rPr>
          <w:u w:val="single"/>
        </w:rPr>
        <w:t xml:space="preserve">other than </w:t>
      </w:r>
      <w:r>
        <w:t xml:space="preserve">recreational or social activities </w:t>
      </w:r>
      <w:r>
        <w:rPr>
          <w:u w:val="single"/>
        </w:rPr>
        <w:t>which</w:t>
      </w:r>
      <w:r>
        <w:t xml:space="preserve"> are a regular incident of employment and produce a benefit to the employer beyond improvement in employee health and  morale, are the natural and proximate cause of the injury or death.</w:t>
      </w:r>
    </w:p>
    <w:p w:rsidR="0066003D" w:rsidRDefault="0066003D" w:rsidP="0066003D">
      <w:pPr>
        <w:rPr>
          <w:u w:val="single"/>
        </w:rPr>
      </w:pPr>
      <w:r>
        <w:tab/>
      </w:r>
      <w:r w:rsidRPr="002A7D2E">
        <w:rPr>
          <w:u w:val="single"/>
        </w:rPr>
        <w:t>b.</w:t>
      </w:r>
      <w:r>
        <w:rPr>
          <w:u w:val="single"/>
        </w:rPr>
        <w:tab/>
        <w:t>If the employee was intoxicated when the injury or death occurred, it shall be presumed that the injury or death was caused by the intoxication and the employee shall be barred from receiving workers’ compensation.</w:t>
      </w:r>
    </w:p>
    <w:p w:rsidR="0066003D" w:rsidRDefault="0066003D" w:rsidP="0066003D">
      <w:r>
        <w:t>(</w:t>
      </w:r>
      <w:proofErr w:type="spellStart"/>
      <w:r>
        <w:t>cf</w:t>
      </w:r>
      <w:proofErr w:type="spellEnd"/>
      <w:r>
        <w:t>: P.L.1979, c.283, s.1)</w:t>
      </w:r>
    </w:p>
    <w:p w:rsidR="0066003D" w:rsidRPr="00D71D68" w:rsidRDefault="0066003D" w:rsidP="0066003D"/>
    <w:p w:rsidR="0066003D" w:rsidRDefault="0066003D" w:rsidP="0066003D">
      <w:r>
        <w:tab/>
        <w:t>2.</w:t>
      </w:r>
      <w:r>
        <w:tab/>
        <w:t>This act shall take effect immediately.</w:t>
      </w:r>
    </w:p>
    <w:p w:rsidR="0066003D" w:rsidRDefault="0066003D" w:rsidP="0066003D"/>
    <w:p w:rsidR="0066003D" w:rsidRPr="00CE7BD8" w:rsidRDefault="0066003D" w:rsidP="0066003D"/>
    <w:p w:rsidR="0066003D" w:rsidRPr="00AA7880" w:rsidRDefault="0066003D" w:rsidP="0066003D">
      <w:pPr>
        <w:jc w:val="center"/>
      </w:pPr>
      <w:r w:rsidRPr="00D71D68">
        <w:t>STATEMENT</w:t>
      </w:r>
    </w:p>
    <w:p w:rsidR="0066003D" w:rsidRDefault="0066003D" w:rsidP="0066003D"/>
    <w:p w:rsidR="0066003D" w:rsidRDefault="0066003D" w:rsidP="0066003D">
      <w:r>
        <w:tab/>
        <w:t>This bill amends the w</w:t>
      </w:r>
      <w:r w:rsidRPr="002C672E">
        <w:t>orkers’ compensation law to provide that if an employee was intoxicated when the injury or death occurred, it is presumed that the injury or death was caused by the intoxication and the employee will be barred from receiving workers’ compensation</w:t>
      </w:r>
      <w:r w:rsidRPr="007B633B">
        <w:t>.</w:t>
      </w:r>
    </w:p>
    <w:p w:rsidR="0066003D" w:rsidRPr="00E7752C" w:rsidRDefault="0066003D" w:rsidP="00E7752C">
      <w:r w:rsidRPr="006B40B4">
        <w:tab/>
        <w:t xml:space="preserve">This bill is, in part, a response to the recent New Jersey Supreme Court case of </w:t>
      </w:r>
      <w:proofErr w:type="spellStart"/>
      <w:r w:rsidRPr="006B40B4">
        <w:rPr>
          <w:u w:val="single"/>
        </w:rPr>
        <w:t>Tlumac</w:t>
      </w:r>
      <w:proofErr w:type="spellEnd"/>
      <w:r w:rsidRPr="006B40B4">
        <w:t xml:space="preserve"> v. </w:t>
      </w:r>
      <w:r w:rsidRPr="006B40B4">
        <w:rPr>
          <w:u w:val="single"/>
        </w:rPr>
        <w:t>High Bridge Stone</w:t>
      </w:r>
      <w:r>
        <w:t xml:space="preserve">, 187 </w:t>
      </w:r>
      <w:r>
        <w:rPr>
          <w:u w:val="single"/>
        </w:rPr>
        <w:t>N.J.</w:t>
      </w:r>
      <w:r>
        <w:t xml:space="preserve"> 567 (2006), </w:t>
      </w:r>
      <w:r w:rsidRPr="006B40B4">
        <w:t xml:space="preserve">in which the Court reaffirmed a </w:t>
      </w:r>
      <w:r>
        <w:t>long standing</w:t>
      </w:r>
      <w:r w:rsidRPr="006B40B4">
        <w:t xml:space="preserve"> rule that </w:t>
      </w:r>
      <w:r>
        <w:t xml:space="preserve">held </w:t>
      </w:r>
      <w:r w:rsidRPr="006B40B4">
        <w:t>intoxication must be the "sole cause" of an accident in order to deprive an employee of workers' compensation benefits</w:t>
      </w:r>
      <w:r>
        <w:t xml:space="preserve">.  In its decision, the Court </w:t>
      </w:r>
      <w:r w:rsidRPr="006B40B4">
        <w:t>stated that its role is to “effectuate the will of the Legislature” and concluded that any changes to the workers’ compensation system must be done through legislation.  Moreover, the Court noted that the workers’ compensation law was created in 1911 and “may no longer comport with current policies.</w:t>
      </w:r>
      <w:r>
        <w:t>”</w:t>
      </w:r>
    </w:p>
    <w:sectPr w:rsidR="0066003D" w:rsidRPr="00E7752C" w:rsidSect="00FB5AD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DA7" w:rsidRDefault="00145DA7">
      <w:r>
        <w:separator/>
      </w:r>
    </w:p>
  </w:endnote>
  <w:endnote w:type="continuationSeparator" w:id="0">
    <w:p w:rsidR="00145DA7" w:rsidRDefault="0014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ADB" w:rsidRPr="00921C91" w:rsidRDefault="00FB5A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B5ADB" w:rsidRPr="00921C91" w:rsidRDefault="00FB5ADB">
    <w:pPr>
      <w:pStyle w:val="Footer"/>
      <w:rPr>
        <w:szCs w:val="18"/>
      </w:rPr>
    </w:pPr>
  </w:p>
  <w:p w:rsidR="00FB5ADB" w:rsidRPr="00921C91" w:rsidRDefault="00FB5A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B5ADB" w:rsidRDefault="00FB5AD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DA7" w:rsidRDefault="00145DA7">
      <w:r>
        <w:separator/>
      </w:r>
    </w:p>
  </w:footnote>
  <w:footnote w:type="continuationSeparator" w:id="0">
    <w:p w:rsidR="00145DA7" w:rsidRDefault="00145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B67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B5ADB" w:rsidRDefault="00FB5ADB" w:rsidP="00FB5ADB">
    <w:pPr>
      <w:pStyle w:val="bpuHeadSpon"/>
    </w:pPr>
    <w:r w:rsidRPr="00FB5ADB">
      <w:rPr>
        <w:rStyle w:val="bpuHeadSponChar"/>
      </w:rPr>
      <w:t>A777</w:t>
    </w:r>
    <w:r>
      <w:t xml:space="preserve"> RUMPF, GOVE</w:t>
    </w:r>
  </w:p>
  <w:p w:rsidR="00FB5ADB" w:rsidRDefault="00FB5ADB" w:rsidP="00FB5ADB">
    <w:pPr>
      <w:pStyle w:val="bpuHeadSpon"/>
    </w:pPr>
    <w:r>
      <w:fldChar w:fldCharType="begin"/>
    </w:r>
    <w:r>
      <w:instrText xml:space="preserve"> PAGE  \* MERGEFORMAT </w:instrText>
    </w:r>
    <w:r>
      <w:fldChar w:fldCharType="separate"/>
    </w:r>
    <w:r w:rsidR="00BB6721">
      <w:rPr>
        <w:noProof/>
      </w:rPr>
      <w:t>3</w:t>
    </w:r>
    <w:r>
      <w:fldChar w:fldCharType="end"/>
    </w:r>
  </w:p>
  <w:p w:rsidR="00FB5ADB" w:rsidRPr="00AF575C" w:rsidRDefault="00FB5ADB" w:rsidP="00FB5A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B5ADB" w:rsidRDefault="00FB5ADB" w:rsidP="00FB5ADB">
    <w:pPr>
      <w:pStyle w:val="bpuHeadSpon"/>
    </w:pPr>
    <w:r w:rsidRPr="00FB5ADB">
      <w:rPr>
        <w:rStyle w:val="bpuHeadSponChar"/>
      </w:rPr>
      <w:t>A777</w:t>
    </w:r>
    <w:r>
      <w:t xml:space="preserve"> RUMPF, GOVE</w:t>
    </w:r>
  </w:p>
  <w:p w:rsidR="00FB5ADB" w:rsidRDefault="00FB5ADB" w:rsidP="00FB5ADB">
    <w:pPr>
      <w:pStyle w:val="bpuHeadSpon"/>
    </w:pPr>
    <w:r>
      <w:fldChar w:fldCharType="begin"/>
    </w:r>
    <w:r>
      <w:instrText xml:space="preserve"> PAGE  \* MERGEFORMAT </w:instrText>
    </w:r>
    <w:r>
      <w:fldChar w:fldCharType="separate"/>
    </w:r>
    <w:r w:rsidR="00BB6721">
      <w:rPr>
        <w:noProof/>
      </w:rPr>
      <w:t>2</w:t>
    </w:r>
    <w:r>
      <w:fldChar w:fldCharType="end"/>
    </w:r>
  </w:p>
  <w:p w:rsidR="00FB5ADB" w:rsidRDefault="00FB5ADB" w:rsidP="00FB5A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DA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DA7"/>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6AE"/>
    <w:rsid w:val="00296363"/>
    <w:rsid w:val="002A16E7"/>
    <w:rsid w:val="002A71FA"/>
    <w:rsid w:val="002B4DA4"/>
    <w:rsid w:val="002B67F7"/>
    <w:rsid w:val="002C58D4"/>
    <w:rsid w:val="002E1440"/>
    <w:rsid w:val="002E2980"/>
    <w:rsid w:val="002E746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03D"/>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36B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D1E"/>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72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DB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5ADB"/>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hapeDefaults>
    <o:shapedefaults v:ext="edit" spidmax="2050"/>
    <o:shapelayout v:ext="edit">
      <o:idmap v:ext="edit" data="1"/>
    </o:shapelayout>
  </w:shapeDefaults>
  <w:decimalSymbol w:val="."/>
  <w:listSeparator w:val=","/>
  <w15:docId w15:val="{9FF3AA75-AD96-4F32-8392-0D71B23DC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B5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67565-3653-4EE0-976F-B030EB2E1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612</Words>
  <Characters>3252</Characters>
  <Application>Microsoft Office Word</Application>
  <DocSecurity>0</DocSecurity>
  <Lines>93</Lines>
  <Paragraphs>29</Paragraphs>
  <ScaleCrop>false</ScaleCrop>
  <HeadingPairs>
    <vt:vector size="2" baseType="variant">
      <vt:variant>
        <vt:lpstr>Title</vt:lpstr>
      </vt:variant>
      <vt:variant>
        <vt:i4>1</vt:i4>
      </vt:variant>
    </vt:vector>
  </HeadingPairs>
  <TitlesOfParts>
    <vt:vector size="1" baseType="lpstr">
      <vt:lpstr>A777</vt:lpstr>
    </vt:vector>
  </TitlesOfParts>
  <Manager>R56</Manager>
  <Company>OFFICE of LEGISLATIVE SERVICES</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A777</dc:title>
  <dc:creator>Assemblyman  RUMPF, Assemblywoman  GOVE</dc:creator>
  <cp:keywords>A777|3|CL |314|0|0|!|0|</cp:keywords>
  <dc:description>PREFILED 2020</dc:description>
  <cp:lastModifiedBy>Todaro, Vivian</cp:lastModifiedBy>
  <cp:revision>2</cp:revision>
  <cp:lastPrinted>2019-12-26T17:51:00Z</cp:lastPrinted>
  <dcterms:created xsi:type="dcterms:W3CDTF">2019-12-27T17:46:00Z</dcterms:created>
  <dcterms:modified xsi:type="dcterms:W3CDTF">2019-12-27T17:46:00Z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