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EE8" w:rsidRDefault="009B465C" w:rsidP="00066EE8">
      <w:pPr>
        <w:pStyle w:val="bpuReprint"/>
      </w:pPr>
      <w:bookmarkStart w:id="0" w:name="_GoBack"/>
      <w:bookmarkEnd w:id="0"/>
      <w:r>
        <w:t>[Second Reprint]</w:t>
      </w:r>
    </w:p>
    <w:p w:rsidR="00F024E4" w:rsidRDefault="00F024E4" w:rsidP="00F024E4">
      <w:pPr>
        <w:pStyle w:val="bpuBill"/>
      </w:pPr>
      <w:r>
        <w:t xml:space="preserve">ASSEMBLY, No. 802 </w:t>
      </w:r>
    </w:p>
    <w:p w:rsidR="00F024E4" w:rsidRPr="00F024E4" w:rsidRDefault="00F024E4" w:rsidP="00F024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576313" r:id="rId8"/>
        </w:object>
      </w:r>
    </w:p>
    <w:p w:rsidR="00F024E4" w:rsidRDefault="00F024E4" w:rsidP="00F024E4">
      <w:pPr>
        <w:pStyle w:val="bpuState"/>
      </w:pPr>
      <w:r>
        <w:t>STATE OF NEW JERSEY</w:t>
      </w:r>
    </w:p>
    <w:p w:rsidR="00F024E4" w:rsidRDefault="00F024E4" w:rsidP="00F024E4">
      <w:pPr>
        <w:pStyle w:val="bpuLegislature"/>
      </w:pPr>
      <w:r>
        <w:t>219th LEGISLATURE</w:t>
      </w:r>
    </w:p>
    <w:p w:rsidR="00F024E4" w:rsidRDefault="00F024E4" w:rsidP="00F024E4">
      <w:pPr>
        <w:pStyle w:val="bpuWpGraphic"/>
      </w:pPr>
      <w:r>
        <w:object w:dxaOrig="8985" w:dyaOrig="255">
          <v:shape id="_x0000_i1026" type="#_x0000_t75" style="width:6in;height:12.2pt" o:ole="">
            <v:imagedata r:id="rId7" o:title=""/>
          </v:shape>
          <o:OLEObject Type="Embed" ProgID="WPWin6.1" ShapeID="_x0000_i1026" DrawAspect="Content" ObjectID="_1703576314" r:id="rId9"/>
        </w:object>
      </w:r>
      <w:r>
        <w:t xml:space="preserve">  </w:t>
      </w:r>
    </w:p>
    <w:p w:rsidR="00F024E4" w:rsidRDefault="00F024E4" w:rsidP="00F024E4">
      <w:pPr>
        <w:pStyle w:val="bpuIntro"/>
      </w:pPr>
      <w:r>
        <w:t>PRE-FILED FOR INTRODUCTION IN THE 2020 SESSION</w:t>
      </w:r>
    </w:p>
    <w:p w:rsidR="00F024E4" w:rsidRDefault="00F024E4" w:rsidP="00F024E4">
      <w:pPr>
        <w:pStyle w:val="bpuIntro"/>
      </w:pPr>
    </w:p>
    <w:p w:rsidR="00F024E4" w:rsidRDefault="00F024E4" w:rsidP="00F024E4">
      <w:pPr>
        <w:pStyle w:val="bpuIntro"/>
        <w:sectPr w:rsidR="00F024E4" w:rsidSect="0007710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024E4" w:rsidRDefault="00F024E4" w:rsidP="00F024E4">
      <w:pPr>
        <w:pStyle w:val="bpuIntro"/>
      </w:pPr>
    </w:p>
    <w:p w:rsidR="00F024E4" w:rsidRDefault="00F024E4" w:rsidP="00F024E4">
      <w:pPr>
        <w:pStyle w:val="bpuSponsor"/>
      </w:pPr>
      <w:r>
        <w:t>Sponsored by:</w:t>
      </w:r>
    </w:p>
    <w:p w:rsidR="00F024E4" w:rsidRDefault="00F024E4" w:rsidP="00F024E4">
      <w:pPr>
        <w:pStyle w:val="bpuSponsor"/>
      </w:pPr>
      <w:r>
        <w:t>Assemblyman  ANTHONY S. VERRELLI</w:t>
      </w:r>
    </w:p>
    <w:p w:rsidR="00F024E4" w:rsidRDefault="00F024E4" w:rsidP="00F024E4">
      <w:pPr>
        <w:pStyle w:val="bpuSponsor"/>
      </w:pPr>
      <w:r>
        <w:t>District 15 (Hunterdon and Mercer)</w:t>
      </w:r>
    </w:p>
    <w:p w:rsidR="00F024E4" w:rsidRDefault="00F024E4" w:rsidP="00F024E4">
      <w:pPr>
        <w:pStyle w:val="bpuSponsor"/>
      </w:pPr>
      <w:r>
        <w:t>Assemblywoman  VERLINA REYNOLDS-JACKSON</w:t>
      </w:r>
    </w:p>
    <w:p w:rsidR="00F024E4" w:rsidRDefault="00F024E4" w:rsidP="00F024E4">
      <w:pPr>
        <w:pStyle w:val="bpuSponsor"/>
      </w:pPr>
      <w:r>
        <w:t>District 15 (Hunterdon and Mercer)</w:t>
      </w:r>
    </w:p>
    <w:p w:rsidR="00F024E4" w:rsidRDefault="00F024E4" w:rsidP="00F024E4">
      <w:pPr>
        <w:pStyle w:val="bpuSponsor"/>
      </w:pPr>
      <w:r>
        <w:t>Assemblywoman  CAROL A. MURPHY</w:t>
      </w:r>
    </w:p>
    <w:p w:rsidR="00F024E4" w:rsidRDefault="00F024E4" w:rsidP="00F024E4">
      <w:pPr>
        <w:pStyle w:val="bpuSponsor"/>
      </w:pPr>
      <w:r>
        <w:t>District 7 (Burlington)</w:t>
      </w:r>
    </w:p>
    <w:p w:rsidR="0007710A" w:rsidRDefault="0007710A" w:rsidP="0007710A">
      <w:pPr>
        <w:pStyle w:val="bpuSponsor"/>
      </w:pPr>
      <w:r>
        <w:t>Senator  SHIRLEY K. TURNER</w:t>
      </w:r>
    </w:p>
    <w:p w:rsidR="0007710A" w:rsidRDefault="0007710A" w:rsidP="0007710A">
      <w:pPr>
        <w:pStyle w:val="bpuSponsor"/>
      </w:pPr>
      <w:r>
        <w:t>District 15 (Hunterdon and Mercer)</w:t>
      </w:r>
    </w:p>
    <w:p w:rsidR="0007710A" w:rsidRDefault="0007710A" w:rsidP="0007710A">
      <w:pPr>
        <w:pStyle w:val="bpuSponsor"/>
      </w:pPr>
      <w:r>
        <w:t>Senator  NELLIE POU</w:t>
      </w:r>
    </w:p>
    <w:p w:rsidR="0007710A" w:rsidRDefault="0007710A" w:rsidP="0007710A">
      <w:pPr>
        <w:pStyle w:val="bpuSponsor"/>
      </w:pPr>
      <w:r>
        <w:t>District 35 (Bergen and Passaic)</w:t>
      </w:r>
    </w:p>
    <w:p w:rsidR="0007710A" w:rsidRPr="0007710A" w:rsidRDefault="0007710A" w:rsidP="0007710A"/>
    <w:p w:rsidR="00601547" w:rsidRDefault="00B2108B" w:rsidP="00B2108B">
      <w:pPr>
        <w:pStyle w:val="bpuSponsor"/>
      </w:pPr>
      <w:r>
        <w:t>Co-Sponsored by:</w:t>
      </w:r>
    </w:p>
    <w:p w:rsidR="00B2108B" w:rsidRPr="00B2108B" w:rsidRDefault="00B2108B" w:rsidP="00B2108B">
      <w:pPr>
        <w:pStyle w:val="bpuSponsor"/>
      </w:pPr>
      <w:r w:rsidRPr="00B2108B">
        <w:t>Assemblymen Holley, Mejia, Assemblywomen McKnight and Timberlake</w:t>
      </w:r>
    </w:p>
    <w:p w:rsidR="00F024E4" w:rsidRDefault="00F024E4" w:rsidP="00F024E4">
      <w:pPr>
        <w:pStyle w:val="bpuSponsor"/>
      </w:pPr>
    </w:p>
    <w:p w:rsidR="00F024E4" w:rsidRDefault="00F024E4" w:rsidP="00F024E4"/>
    <w:p w:rsidR="00601547" w:rsidRDefault="00601547" w:rsidP="00F024E4"/>
    <w:p w:rsidR="00F024E4" w:rsidRPr="00F024E4" w:rsidRDefault="00F024E4" w:rsidP="00F024E4"/>
    <w:p w:rsidR="00F024E4" w:rsidRDefault="00F024E4" w:rsidP="00F024E4">
      <w:pPr>
        <w:pStyle w:val="bpuSponsor"/>
      </w:pPr>
      <w:r>
        <w:t>SYNOPSIS</w:t>
      </w:r>
    </w:p>
    <w:p w:rsidR="00F024E4" w:rsidRDefault="00F024E4" w:rsidP="00F024E4">
      <w:pPr>
        <w:pStyle w:val="bpuNormText"/>
      </w:pPr>
      <w:r>
        <w:tab/>
        <w:t xml:space="preserve">Requires certain retailers to train employees on gift card fraud. </w:t>
      </w:r>
    </w:p>
    <w:p w:rsidR="00F024E4" w:rsidRDefault="00F024E4" w:rsidP="00F024E4">
      <w:pPr>
        <w:pStyle w:val="bpuNormText"/>
      </w:pPr>
    </w:p>
    <w:p w:rsidR="00F024E4" w:rsidRDefault="00F024E4" w:rsidP="00F024E4">
      <w:pPr>
        <w:pStyle w:val="bpuSponsor"/>
      </w:pPr>
      <w:r>
        <w:t xml:space="preserve">CURRENT VERSION OF TEXT </w:t>
      </w:r>
    </w:p>
    <w:p w:rsidR="00F024E4" w:rsidRDefault="009B465C" w:rsidP="00F024E4">
      <w:pPr>
        <w:pStyle w:val="bpuNormText"/>
      </w:pPr>
      <w:r>
        <w:tab/>
        <w:t>As reported by the Senate Commerce Committee on June 16, 2021, with amendments.</w:t>
      </w:r>
    </w:p>
    <w:p w:rsidR="00F024E4" w:rsidRDefault="00F024E4" w:rsidP="00F024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24E4" w:rsidRDefault="00F024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24E4" w:rsidSect="00F024E4">
          <w:type w:val="continuous"/>
          <w:pgSz w:w="12240" w:h="20160" w:code="5"/>
          <w:pgMar w:top="2160" w:right="2275" w:bottom="1440" w:left="2275" w:header="72" w:footer="720" w:gutter="0"/>
          <w:pgNumType w:start="1"/>
          <w:cols w:space="720"/>
          <w:docGrid w:linePitch="360"/>
        </w:sectPr>
      </w:pPr>
    </w:p>
    <w:p w:rsidR="004C0D6E" w:rsidRPr="00677316" w:rsidRDefault="004C0D6E" w:rsidP="004C0D6E">
      <w:pPr>
        <w:pStyle w:val="HangingAnAct"/>
        <w:rPr>
          <w:rStyle w:val="HangingAnActChar"/>
        </w:rPr>
      </w:pPr>
      <w:r w:rsidRPr="004C0D6E">
        <w:rPr>
          <w:rStyle w:val="BillHead"/>
        </w:rPr>
        <w:lastRenderedPageBreak/>
        <w:t>An Act</w:t>
      </w:r>
      <w:r w:rsidRPr="006B7FA7">
        <w:rPr>
          <w:rStyle w:val="HangingAnActChar"/>
        </w:rPr>
        <w:t xml:space="preserve"> </w:t>
      </w:r>
      <w:r w:rsidRPr="00A1004E">
        <w:rPr>
          <w:rStyle w:val="HangingAnActChar"/>
        </w:rPr>
        <w:t>concerning gift cards and supplementing P.L.1960, c.39 (C.56:8-1 et seq.)</w:t>
      </w:r>
      <w:r>
        <w:rPr>
          <w:rStyle w:val="HangingAnActChar"/>
        </w:rPr>
        <w:t>.</w:t>
      </w:r>
    </w:p>
    <w:p w:rsidR="004C0D6E" w:rsidRPr="00D71D68" w:rsidRDefault="004C0D6E" w:rsidP="004C0D6E"/>
    <w:p w:rsidR="004C0D6E" w:rsidRPr="00AA7880" w:rsidRDefault="004C0D6E" w:rsidP="004C0D6E">
      <w:r>
        <w:tab/>
      </w:r>
      <w:r>
        <w:rPr>
          <w:rStyle w:val="BillHeading2"/>
        </w:rPr>
        <w:t xml:space="preserve">Be It Enacted </w:t>
      </w:r>
      <w:r>
        <w:rPr>
          <w:rStyle w:val="BillLanguage"/>
        </w:rPr>
        <w:t>by the Senate and General Assembly of the State of New Jersey:</w:t>
      </w:r>
    </w:p>
    <w:p w:rsidR="004C0D6E" w:rsidRDefault="004C0D6E" w:rsidP="004C0D6E"/>
    <w:p w:rsidR="009B465C" w:rsidRPr="009B465C" w:rsidRDefault="009B465C" w:rsidP="009B465C">
      <w:r w:rsidRPr="009B465C">
        <w:tab/>
        <w:t>1.</w:t>
      </w:r>
      <w:r w:rsidRPr="009B465C">
        <w:tab/>
        <w:t xml:space="preserve">a.  Every retail mercantile establishment in this State that displays gift cards for sale shall train employees on how to identify and respond to gift card fraud. </w:t>
      </w:r>
      <w:r w:rsidRPr="009B465C">
        <w:rPr>
          <w:rFonts w:ascii="Albertus Extra Bold" w:hAnsi="Albertus Extra Bold"/>
          <w:b/>
          <w:vertAlign w:val="superscript"/>
        </w:rPr>
        <w:t>1</w:t>
      </w:r>
      <w:r w:rsidRPr="009B465C">
        <w:rPr>
          <w:u w:val="single"/>
        </w:rPr>
        <w:t>A retail mercantile establishment shall conduct the training in accordance with guidelines issued pursuant to section 2 of this</w:t>
      </w:r>
      <w:r w:rsidRPr="009B465C">
        <w:t xml:space="preserve"> </w:t>
      </w:r>
      <w:r w:rsidRPr="009B465C">
        <w:rPr>
          <w:rFonts w:ascii="Albertus Extra Bold" w:hAnsi="Albertus Extra Bold"/>
          <w:b/>
          <w:vertAlign w:val="superscript"/>
        </w:rPr>
        <w:t>2</w:t>
      </w:r>
      <w:r w:rsidRPr="009B465C">
        <w:rPr>
          <w:rFonts w:ascii="Albertus Extra Bold" w:hAnsi="Albertus Extra Bold"/>
          <w:b/>
        </w:rPr>
        <w:t>[</w:t>
      </w:r>
      <w:r w:rsidRPr="009B465C">
        <w:rPr>
          <w:u w:val="single"/>
        </w:rPr>
        <w:t>section</w:t>
      </w:r>
      <w:r w:rsidRPr="009B465C">
        <w:rPr>
          <w:rFonts w:ascii="Albertus Extra Bold" w:hAnsi="Albertus Extra Bold"/>
          <w:b/>
        </w:rPr>
        <w:t>]</w:t>
      </w:r>
      <w:r w:rsidRPr="009B465C">
        <w:rPr>
          <w:spacing w:val="0"/>
        </w:rPr>
        <w:t xml:space="preserve"> </w:t>
      </w:r>
      <w:r w:rsidRPr="009B465C">
        <w:rPr>
          <w:spacing w:val="0"/>
          <w:u w:val="single"/>
        </w:rPr>
        <w:t>act</w:t>
      </w:r>
      <w:r w:rsidRPr="009B465C">
        <w:rPr>
          <w:rFonts w:ascii="Albertus Extra Bold" w:hAnsi="Albertus Extra Bold"/>
          <w:b/>
          <w:vertAlign w:val="superscript"/>
        </w:rPr>
        <w:t>2</w:t>
      </w:r>
      <w:r w:rsidRPr="009B465C">
        <w:rPr>
          <w:u w:val="single"/>
        </w:rPr>
        <w:t>.</w:t>
      </w:r>
      <w:r w:rsidRPr="009B465C">
        <w:rPr>
          <w:rFonts w:ascii="Albertus Extra Bold" w:hAnsi="Albertus Extra Bold"/>
          <w:b/>
          <w:vertAlign w:val="superscript"/>
        </w:rPr>
        <w:t>1</w:t>
      </w:r>
      <w:r w:rsidRPr="009B465C">
        <w:t xml:space="preserve"> </w:t>
      </w:r>
    </w:p>
    <w:p w:rsidR="009B465C" w:rsidRPr="009B465C" w:rsidRDefault="009B465C" w:rsidP="009B465C">
      <w:r w:rsidRPr="009B465C">
        <w:tab/>
        <w:t>b.</w:t>
      </w:r>
      <w:r w:rsidRPr="009B465C">
        <w:tab/>
        <w:t xml:space="preserve">A retail mercantile establishment that violates the provisions of this section shall be subject to a civil penalty of $1,000, which may be collected and enforced by the Director of the Division of Consumer Affairs in the Department of Law and Public Safety in a summary proceeding pursuant to the "Penalty Enforcement Law of 1999," P.L.1999, c.274 (C.2A:58-10 et seq.).  The Superior Court shall have jurisdiction of proceedings for the enforcement of the penalty provided by this section.  </w:t>
      </w:r>
    </w:p>
    <w:p w:rsidR="009B465C" w:rsidRPr="009B465C" w:rsidRDefault="009B465C" w:rsidP="009B465C">
      <w:r w:rsidRPr="009B465C">
        <w:tab/>
        <w:t xml:space="preserve">A violation of this section shall not be considered an unlawful practice in violation of P.L.1960, c.39 (C.56:8-1 et seq.). </w:t>
      </w:r>
    </w:p>
    <w:p w:rsidR="009B465C" w:rsidRPr="009B465C" w:rsidRDefault="009B465C" w:rsidP="009B465C">
      <w:r w:rsidRPr="009B465C">
        <w:tab/>
        <w:t>c.</w:t>
      </w:r>
      <w:r w:rsidRPr="009B465C">
        <w:tab/>
        <w:t xml:space="preserve">As used in this section: </w:t>
      </w:r>
    </w:p>
    <w:p w:rsidR="009B465C" w:rsidRPr="009B465C" w:rsidRDefault="009B465C" w:rsidP="009B465C">
      <w:r w:rsidRPr="009B465C">
        <w:tab/>
        <w:t xml:space="preserve">"Gift card" means a tangible device, whereon is embedded or encoded in an electronic or other format a value issued in exchange for payment, which promises to provide to the bearer merchandise of equal value to the remaining balance of the device.  </w:t>
      </w:r>
    </w:p>
    <w:p w:rsidR="009B465C" w:rsidRPr="009B465C" w:rsidRDefault="009B465C" w:rsidP="009B465C">
      <w:r w:rsidRPr="009B465C">
        <w:tab/>
        <w:t xml:space="preserve">“Merchandise” means any objects, wares, goods, commodities, services, or anything offered, directly or indirectly, to the public for sale. </w:t>
      </w:r>
    </w:p>
    <w:p w:rsidR="00066EE8" w:rsidRDefault="009B465C" w:rsidP="009B465C">
      <w:r w:rsidRPr="009B465C">
        <w:tab/>
        <w:t>"Retail mercantile establishment" means any place of business where merchandise is exposed or offered for sale at retail to members of the consuming public.</w:t>
      </w:r>
    </w:p>
    <w:p w:rsidR="004C0D6E" w:rsidRDefault="004C0D6E" w:rsidP="004C0D6E"/>
    <w:p w:rsidR="00C37B67" w:rsidRDefault="00F3681C" w:rsidP="00C37B67">
      <w:r>
        <w:rPr>
          <w:rFonts w:ascii="Albertus Extra Bold" w:hAnsi="Albertus Extra Bold"/>
          <w:b/>
          <w:vertAlign w:val="superscript"/>
        </w:rPr>
        <w:tab/>
        <w:t>1</w:t>
      </w:r>
      <w:r w:rsidR="00C37B67">
        <w:rPr>
          <w:u w:val="single"/>
        </w:rPr>
        <w:t>2.</w:t>
      </w:r>
      <w:r w:rsidR="00C37B67">
        <w:rPr>
          <w:u w:val="single"/>
        </w:rPr>
        <w:tab/>
      </w:r>
      <w:r>
        <w:rPr>
          <w:u w:val="single"/>
        </w:rPr>
        <w:t>The Director of the Division of Consumer Affairs in the Department of Law and Public Safety, in consultation with the Attorney General, shall issue guidelines concerning the detection and prevention of gift card fraud. The guidelines shall include, but not be limited to: (1) information raising public awareness of the prevalence of gift card fraud; (2) information concerning common gift card fraud schemes; and (3) best practices for retail mercantile establishments to prevent gift card fraud.  The guidelines shall be published on the Internet websites of the Department of Law and Public Safety and the Division of Consumer Affairs, and updated periodically, as necessary.</w:t>
      </w:r>
      <w:r w:rsidRPr="00344175">
        <w:rPr>
          <w:rFonts w:ascii="Albertus Extra Bold" w:hAnsi="Albertus Extra Bold"/>
          <w:b/>
          <w:vertAlign w:val="superscript"/>
        </w:rPr>
        <w:t>1</w:t>
      </w:r>
      <w:r>
        <w:rPr>
          <w:u w:val="single"/>
        </w:rPr>
        <w:t xml:space="preserve">  </w:t>
      </w:r>
      <w:r w:rsidR="00C37B67">
        <w:br w:type="page"/>
      </w:r>
    </w:p>
    <w:p w:rsidR="004C0D6E" w:rsidRPr="00D71D68" w:rsidRDefault="004C0D6E" w:rsidP="004C0D6E">
      <w:r>
        <w:tab/>
      </w:r>
      <w:r w:rsidR="00F3681C">
        <w:rPr>
          <w:rFonts w:ascii="Albertus Extra Bold" w:hAnsi="Albertus Extra Bold"/>
          <w:b/>
          <w:vertAlign w:val="superscript"/>
        </w:rPr>
        <w:t>1</w:t>
      </w:r>
      <w:r w:rsidR="00F3681C" w:rsidRPr="00F3681C">
        <w:rPr>
          <w:rFonts w:ascii="Albertus Extra Bold" w:hAnsi="Albertus Extra Bold"/>
          <w:b/>
        </w:rPr>
        <w:t>[</w:t>
      </w:r>
      <w:r>
        <w:t>2.</w:t>
      </w:r>
      <w:r w:rsidR="00F3681C" w:rsidRPr="00F3681C">
        <w:rPr>
          <w:rFonts w:ascii="Albertus Extra Bold" w:hAnsi="Albertus Extra Bold"/>
          <w:b/>
        </w:rPr>
        <w:t>]</w:t>
      </w:r>
      <w:r w:rsidR="00F3681C">
        <w:t xml:space="preserve"> </w:t>
      </w:r>
      <w:r w:rsidR="00F3681C">
        <w:rPr>
          <w:u w:val="single"/>
        </w:rPr>
        <w:t>3.</w:t>
      </w:r>
      <w:r w:rsidR="00F3681C">
        <w:rPr>
          <w:rFonts w:ascii="Albertus Extra Bold" w:hAnsi="Albertus Extra Bold"/>
          <w:b/>
          <w:vertAlign w:val="superscript"/>
        </w:rPr>
        <w:t>1</w:t>
      </w:r>
      <w:r>
        <w:tab/>
        <w:t>This act shall take effect on the first day of the fourth month after enactment.</w:t>
      </w:r>
    </w:p>
    <w:sectPr w:rsidR="004C0D6E" w:rsidRPr="00D71D68" w:rsidSect="009B465C">
      <w:headerReference w:type="default" r:id="rId14"/>
      <w:footerReference w:type="default" r:id="rId15"/>
      <w:headerReference w:type="first" r:id="rId16"/>
      <w:footerReference w:type="first" r:id="rId17"/>
      <w:pgSz w:w="12240" w:h="20160" w:code="5"/>
      <w:pgMar w:top="1440" w:right="2520" w:bottom="1728" w:left="2880" w:header="1181" w:footer="87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C44" w:rsidRDefault="00576C44">
      <w:r>
        <w:separator/>
      </w:r>
    </w:p>
  </w:endnote>
  <w:endnote w:type="continuationSeparator" w:id="0">
    <w:p w:rsidR="00576C44" w:rsidRDefault="00576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547" w:rsidRDefault="0007710A" w:rsidP="0007710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EE8" w:rsidRPr="00921C91" w:rsidRDefault="00066E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6EE8" w:rsidRPr="00921C91" w:rsidRDefault="00066EE8">
    <w:pPr>
      <w:pStyle w:val="Footer"/>
      <w:rPr>
        <w:szCs w:val="18"/>
      </w:rPr>
    </w:pPr>
  </w:p>
  <w:p w:rsidR="00066EE8" w:rsidRPr="00921C91" w:rsidRDefault="00066E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6EE8" w:rsidRDefault="00066EE8">
    <w:pPr>
      <w:pStyle w:val="Footer"/>
    </w:pPr>
    <w:r>
      <w:tab/>
      <w:t>Matter enclosed in superscript numerals has been adopted as follows:</w:t>
    </w:r>
  </w:p>
  <w:p w:rsidR="00066EE8" w:rsidRDefault="00066EE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January 13, 2021.</w:t>
    </w:r>
  </w:p>
  <w:p w:rsidR="00066EE8" w:rsidRDefault="009B465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SCM committee amendments adopted June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C44" w:rsidRDefault="00576C44">
      <w:r>
        <w:separator/>
      </w:r>
    </w:p>
  </w:footnote>
  <w:footnote w:type="continuationSeparator" w:id="0">
    <w:p w:rsidR="00576C44" w:rsidRDefault="00576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14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24E4" w:rsidRDefault="00F024E4" w:rsidP="00F024E4">
    <w:pPr>
      <w:pStyle w:val="bpuHeadSpon"/>
    </w:pPr>
    <w:r w:rsidRPr="00F024E4">
      <w:rPr>
        <w:rStyle w:val="bpuHeadSponChar"/>
      </w:rPr>
      <w:t>A802</w:t>
    </w:r>
    <w:r>
      <w:t xml:space="preserve"> </w:t>
    </w:r>
    <w:r w:rsidR="009B465C">
      <w:t>[2R]</w:t>
    </w:r>
    <w:r w:rsidR="00066EE8">
      <w:t xml:space="preserve"> </w:t>
    </w:r>
    <w:r>
      <w:t>VERRELLI, REYNOLDS-JACKSON</w:t>
    </w:r>
  </w:p>
  <w:p w:rsidR="00F024E4" w:rsidRDefault="00F024E4" w:rsidP="00F024E4">
    <w:pPr>
      <w:pStyle w:val="bpuHeadSpon"/>
    </w:pPr>
    <w:r>
      <w:fldChar w:fldCharType="begin"/>
    </w:r>
    <w:r>
      <w:instrText xml:space="preserve"> PAGE  \* MERGEFORMAT </w:instrText>
    </w:r>
    <w:r>
      <w:fldChar w:fldCharType="separate"/>
    </w:r>
    <w:r w:rsidR="00951484">
      <w:rPr>
        <w:noProof/>
      </w:rPr>
      <w:t>3</w:t>
    </w:r>
    <w:r>
      <w:fldChar w:fldCharType="end"/>
    </w:r>
  </w:p>
  <w:p w:rsidR="00F024E4" w:rsidRPr="00AF575C" w:rsidRDefault="00F024E4" w:rsidP="00F024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24E4" w:rsidRDefault="00F024E4" w:rsidP="00F024E4">
    <w:pPr>
      <w:pStyle w:val="bpuHeadSpon"/>
    </w:pPr>
    <w:r w:rsidRPr="00F024E4">
      <w:rPr>
        <w:rStyle w:val="bpuHeadSponChar"/>
      </w:rPr>
      <w:t>A802</w:t>
    </w:r>
    <w:r>
      <w:t xml:space="preserve"> </w:t>
    </w:r>
    <w:r w:rsidR="009B465C">
      <w:t>[2R]</w:t>
    </w:r>
    <w:r w:rsidR="00066EE8">
      <w:t xml:space="preserve"> </w:t>
    </w:r>
    <w:r>
      <w:t>VERRELLI, REYNOLDS-JACKSON</w:t>
    </w:r>
  </w:p>
  <w:p w:rsidR="00F024E4" w:rsidRDefault="00F024E4" w:rsidP="00F024E4">
    <w:pPr>
      <w:pStyle w:val="bpuHeadSpon"/>
    </w:pPr>
    <w:r>
      <w:fldChar w:fldCharType="begin"/>
    </w:r>
    <w:r>
      <w:instrText xml:space="preserve"> PAGE  \* MERGEFORMAT </w:instrText>
    </w:r>
    <w:r>
      <w:fldChar w:fldCharType="separate"/>
    </w:r>
    <w:r w:rsidR="00951484">
      <w:rPr>
        <w:noProof/>
      </w:rPr>
      <w:t>2</w:t>
    </w:r>
    <w:r>
      <w:fldChar w:fldCharType="end"/>
    </w:r>
  </w:p>
  <w:p w:rsidR="00F024E4" w:rsidRDefault="00F024E4" w:rsidP="00F024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C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EE8"/>
    <w:rsid w:val="0007710A"/>
    <w:rsid w:val="000778CE"/>
    <w:rsid w:val="00095699"/>
    <w:rsid w:val="000A384F"/>
    <w:rsid w:val="000A5654"/>
    <w:rsid w:val="000A6268"/>
    <w:rsid w:val="000A66D5"/>
    <w:rsid w:val="000A7D31"/>
    <w:rsid w:val="000B3B59"/>
    <w:rsid w:val="000B64A4"/>
    <w:rsid w:val="000B6A27"/>
    <w:rsid w:val="000C657D"/>
    <w:rsid w:val="000D114D"/>
    <w:rsid w:val="000D6A40"/>
    <w:rsid w:val="000D6DFF"/>
    <w:rsid w:val="000E4219"/>
    <w:rsid w:val="000E4294"/>
    <w:rsid w:val="000E5EF5"/>
    <w:rsid w:val="000F0AA4"/>
    <w:rsid w:val="000F6E7F"/>
    <w:rsid w:val="000F7BFB"/>
    <w:rsid w:val="000F7FF6"/>
    <w:rsid w:val="00113A3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6D"/>
    <w:rsid w:val="001A55F1"/>
    <w:rsid w:val="001A66DB"/>
    <w:rsid w:val="001B3175"/>
    <w:rsid w:val="001B3F81"/>
    <w:rsid w:val="001B7150"/>
    <w:rsid w:val="001C6A67"/>
    <w:rsid w:val="001D576D"/>
    <w:rsid w:val="001D7350"/>
    <w:rsid w:val="001E4DBB"/>
    <w:rsid w:val="001F61C8"/>
    <w:rsid w:val="001F6719"/>
    <w:rsid w:val="001F6DA6"/>
    <w:rsid w:val="00214614"/>
    <w:rsid w:val="0022067D"/>
    <w:rsid w:val="00231838"/>
    <w:rsid w:val="00232C5B"/>
    <w:rsid w:val="002373F3"/>
    <w:rsid w:val="002463CF"/>
    <w:rsid w:val="0026254F"/>
    <w:rsid w:val="00266FB9"/>
    <w:rsid w:val="00274341"/>
    <w:rsid w:val="0028159B"/>
    <w:rsid w:val="00294E2A"/>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108E"/>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C4D"/>
    <w:rsid w:val="0044404C"/>
    <w:rsid w:val="00470114"/>
    <w:rsid w:val="00470ABF"/>
    <w:rsid w:val="0048038F"/>
    <w:rsid w:val="00484B8A"/>
    <w:rsid w:val="004A5222"/>
    <w:rsid w:val="004B0CE3"/>
    <w:rsid w:val="004B5C78"/>
    <w:rsid w:val="004B667A"/>
    <w:rsid w:val="004B6E61"/>
    <w:rsid w:val="004B75D5"/>
    <w:rsid w:val="004C0D6E"/>
    <w:rsid w:val="004C0EE5"/>
    <w:rsid w:val="004C1B1C"/>
    <w:rsid w:val="004C2B44"/>
    <w:rsid w:val="004D1B2E"/>
    <w:rsid w:val="004D76F0"/>
    <w:rsid w:val="004F18AF"/>
    <w:rsid w:val="00501B0F"/>
    <w:rsid w:val="00503EA6"/>
    <w:rsid w:val="0050427A"/>
    <w:rsid w:val="00505402"/>
    <w:rsid w:val="0051355F"/>
    <w:rsid w:val="00515090"/>
    <w:rsid w:val="00520989"/>
    <w:rsid w:val="005311D7"/>
    <w:rsid w:val="00534B44"/>
    <w:rsid w:val="00541E58"/>
    <w:rsid w:val="00546499"/>
    <w:rsid w:val="005475CF"/>
    <w:rsid w:val="005501DB"/>
    <w:rsid w:val="00550854"/>
    <w:rsid w:val="005508CF"/>
    <w:rsid w:val="00560F96"/>
    <w:rsid w:val="0056610D"/>
    <w:rsid w:val="00574518"/>
    <w:rsid w:val="00576C44"/>
    <w:rsid w:val="005836AB"/>
    <w:rsid w:val="00585FA1"/>
    <w:rsid w:val="005866AA"/>
    <w:rsid w:val="005876F1"/>
    <w:rsid w:val="00592664"/>
    <w:rsid w:val="0059343F"/>
    <w:rsid w:val="00596499"/>
    <w:rsid w:val="00596B76"/>
    <w:rsid w:val="005B38F3"/>
    <w:rsid w:val="005C0288"/>
    <w:rsid w:val="005C7C01"/>
    <w:rsid w:val="005D28BC"/>
    <w:rsid w:val="005D5980"/>
    <w:rsid w:val="005E5083"/>
    <w:rsid w:val="005F1C6B"/>
    <w:rsid w:val="006005C9"/>
    <w:rsid w:val="00601547"/>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396"/>
    <w:rsid w:val="0070018A"/>
    <w:rsid w:val="00712CBE"/>
    <w:rsid w:val="00730582"/>
    <w:rsid w:val="00741A09"/>
    <w:rsid w:val="00752616"/>
    <w:rsid w:val="0075577B"/>
    <w:rsid w:val="00757B3B"/>
    <w:rsid w:val="00762366"/>
    <w:rsid w:val="007676EB"/>
    <w:rsid w:val="0076794B"/>
    <w:rsid w:val="00771F97"/>
    <w:rsid w:val="00772A40"/>
    <w:rsid w:val="0077700A"/>
    <w:rsid w:val="007801C8"/>
    <w:rsid w:val="00795C3E"/>
    <w:rsid w:val="0079623B"/>
    <w:rsid w:val="007A0026"/>
    <w:rsid w:val="007C1354"/>
    <w:rsid w:val="007D0F64"/>
    <w:rsid w:val="007E4AD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808"/>
    <w:rsid w:val="008B313B"/>
    <w:rsid w:val="008B4545"/>
    <w:rsid w:val="008B6E84"/>
    <w:rsid w:val="008C6FA9"/>
    <w:rsid w:val="008D35C6"/>
    <w:rsid w:val="008D455C"/>
    <w:rsid w:val="008D62DB"/>
    <w:rsid w:val="008E3B9B"/>
    <w:rsid w:val="008E4F67"/>
    <w:rsid w:val="008F6A7A"/>
    <w:rsid w:val="00900F82"/>
    <w:rsid w:val="00902B2D"/>
    <w:rsid w:val="00915B98"/>
    <w:rsid w:val="00933C9C"/>
    <w:rsid w:val="0094377E"/>
    <w:rsid w:val="009467BF"/>
    <w:rsid w:val="0094723D"/>
    <w:rsid w:val="00951484"/>
    <w:rsid w:val="009564BC"/>
    <w:rsid w:val="0095650E"/>
    <w:rsid w:val="00966445"/>
    <w:rsid w:val="00967FED"/>
    <w:rsid w:val="00980A56"/>
    <w:rsid w:val="00986E4C"/>
    <w:rsid w:val="009937ED"/>
    <w:rsid w:val="00993BCE"/>
    <w:rsid w:val="009A28BB"/>
    <w:rsid w:val="009A5E9B"/>
    <w:rsid w:val="009B0B5A"/>
    <w:rsid w:val="009B141C"/>
    <w:rsid w:val="009B465C"/>
    <w:rsid w:val="009B5662"/>
    <w:rsid w:val="009C3EDF"/>
    <w:rsid w:val="009C76BC"/>
    <w:rsid w:val="009D5C82"/>
    <w:rsid w:val="009E1345"/>
    <w:rsid w:val="009E2D24"/>
    <w:rsid w:val="009F2BAB"/>
    <w:rsid w:val="009F76D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070"/>
    <w:rsid w:val="00AA6194"/>
    <w:rsid w:val="00AA64D0"/>
    <w:rsid w:val="00AB4C5C"/>
    <w:rsid w:val="00AC4B4B"/>
    <w:rsid w:val="00AC6F66"/>
    <w:rsid w:val="00AD7C41"/>
    <w:rsid w:val="00AE1E57"/>
    <w:rsid w:val="00AF6ECE"/>
    <w:rsid w:val="00B00B00"/>
    <w:rsid w:val="00B034C1"/>
    <w:rsid w:val="00B0560C"/>
    <w:rsid w:val="00B07DA6"/>
    <w:rsid w:val="00B11520"/>
    <w:rsid w:val="00B14011"/>
    <w:rsid w:val="00B14D35"/>
    <w:rsid w:val="00B2108B"/>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B67"/>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42A"/>
    <w:rsid w:val="00DF4E47"/>
    <w:rsid w:val="00E0012A"/>
    <w:rsid w:val="00E025E4"/>
    <w:rsid w:val="00E03582"/>
    <w:rsid w:val="00E05DFC"/>
    <w:rsid w:val="00E13861"/>
    <w:rsid w:val="00E33D7F"/>
    <w:rsid w:val="00E44D94"/>
    <w:rsid w:val="00E500AD"/>
    <w:rsid w:val="00E51A59"/>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4E4"/>
    <w:rsid w:val="00F0415D"/>
    <w:rsid w:val="00F14E45"/>
    <w:rsid w:val="00F17CFC"/>
    <w:rsid w:val="00F27DA2"/>
    <w:rsid w:val="00F3681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B82FCC-B965-4644-9E54-4B992507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94E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E2A"/>
    <w:rPr>
      <w:rFonts w:ascii="Segoe UI" w:hAnsi="Segoe UI" w:cs="Segoe UI"/>
      <w:spacing w:val="4"/>
      <w:sz w:val="18"/>
      <w:szCs w:val="18"/>
    </w:rPr>
  </w:style>
  <w:style w:type="character" w:styleId="LineNumber">
    <w:name w:val="line number"/>
    <w:basedOn w:val="DefaultParagraphFont"/>
    <w:semiHidden/>
    <w:unhideWhenUsed/>
    <w:rsid w:val="00F02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1ACED-DC90-444B-8879-8A50D3540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486</Words>
  <Characters>2650</Characters>
  <Application>Microsoft Office Word</Application>
  <DocSecurity>0</DocSecurity>
  <Lines>82</Lines>
  <Paragraphs>33</Paragraphs>
  <ScaleCrop>false</ScaleCrop>
  <HeadingPairs>
    <vt:vector size="2" baseType="variant">
      <vt:variant>
        <vt:lpstr>Title</vt:lpstr>
      </vt:variant>
      <vt:variant>
        <vt:i4>1</vt:i4>
      </vt:variant>
    </vt:vector>
  </HeadingPairs>
  <TitlesOfParts>
    <vt:vector size="1" baseType="lpstr">
      <vt:lpstr>A802 1R</vt:lpstr>
    </vt:vector>
  </TitlesOfParts>
  <Manager>R229</Manager>
  <Company>OFFICE of LEGISLATIVE SERVICES</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A802 2R</dc:title>
  <dc:creator>Assemblyman  VERRELLI, Assemblywoman  REYNOLDS-JACKSON</dc:creator>
  <cp:keywords>A802|3|CL |307|314|260|!||</cp:keywords>
  <dc:description>PREFILED 2020_x000d_
Amended &amp; TR 1/13/21_x000d_
Amended 6/16/21</dc:description>
  <cp:lastModifiedBy>Todaro, Vivian</cp:lastModifiedBy>
  <cp:revision>2</cp:revision>
  <cp:lastPrinted>2022-01-13T15:52:00Z</cp:lastPrinted>
  <dcterms:created xsi:type="dcterms:W3CDTF">2022-01-13T15:52:00Z</dcterms:created>
  <dcterms:modified xsi:type="dcterms:W3CDTF">2022-01-13T15:52:00Z</dcterms:modified>
  <cp:category>C.56:8-1 et seq. to 2020/136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