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4E3" w:rsidRDefault="006C24E3" w:rsidP="006C24E3">
      <w:pPr>
        <w:pStyle w:val="bpuBill"/>
      </w:pPr>
      <w:bookmarkStart w:id="0" w:name="bpuFrontPg"/>
      <w:bookmarkStart w:id="1" w:name="_GoBack"/>
      <w:bookmarkEnd w:id="0"/>
      <w:bookmarkEnd w:id="1"/>
      <w:r>
        <w:t xml:space="preserve">ASSEMBLY, No. 826 </w:t>
      </w:r>
    </w:p>
    <w:p w:rsidR="006C24E3" w:rsidRPr="006C24E3" w:rsidRDefault="006C24E3" w:rsidP="006C24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54483" r:id="rId8"/>
        </w:object>
      </w:r>
    </w:p>
    <w:p w:rsidR="006C24E3" w:rsidRDefault="006C24E3" w:rsidP="006C24E3">
      <w:pPr>
        <w:pStyle w:val="bpuState"/>
      </w:pPr>
      <w:r>
        <w:t>STATE OF NEW JERSEY</w:t>
      </w:r>
    </w:p>
    <w:p w:rsidR="006C24E3" w:rsidRDefault="006C24E3" w:rsidP="006C24E3">
      <w:pPr>
        <w:pStyle w:val="bpuLegislature"/>
      </w:pPr>
      <w:proofErr w:type="gramStart"/>
      <w:r>
        <w:t>219th</w:t>
      </w:r>
      <w:proofErr w:type="gramEnd"/>
      <w:r>
        <w:t xml:space="preserve"> LEGISLATURE</w:t>
      </w:r>
    </w:p>
    <w:p w:rsidR="006C24E3" w:rsidRDefault="006C24E3" w:rsidP="006C24E3">
      <w:pPr>
        <w:pStyle w:val="bpuWpGraphic"/>
      </w:pPr>
      <w:r>
        <w:object w:dxaOrig="8985" w:dyaOrig="255">
          <v:shape id="_x0000_i1026" type="#_x0000_t75" style="width:6in;height:11.5pt" o:ole="">
            <v:imagedata r:id="rId7" o:title=""/>
          </v:shape>
          <o:OLEObject Type="Embed" ProgID="WPWin6.1" ShapeID="_x0000_i1026" DrawAspect="Content" ObjectID="_1638954484" r:id="rId9"/>
        </w:object>
      </w:r>
      <w:r>
        <w:t xml:space="preserve">  </w:t>
      </w:r>
    </w:p>
    <w:p w:rsidR="006C24E3" w:rsidRDefault="006C24E3" w:rsidP="006C24E3">
      <w:pPr>
        <w:pStyle w:val="bpuIntro"/>
      </w:pPr>
      <w:r>
        <w:t>PRE-FILED FOR INTRODUCTION IN THE 2020 SESSION</w:t>
      </w:r>
    </w:p>
    <w:p w:rsidR="006C24E3" w:rsidRDefault="006C24E3" w:rsidP="006C24E3">
      <w:pPr>
        <w:pStyle w:val="bpuIntro"/>
      </w:pPr>
    </w:p>
    <w:p w:rsidR="006C24E3" w:rsidRDefault="006C24E3" w:rsidP="006C24E3">
      <w:pPr>
        <w:pStyle w:val="bpuIntro"/>
        <w:sectPr w:rsidR="006C24E3" w:rsidSect="006C24E3">
          <w:headerReference w:type="even" r:id="rId10"/>
          <w:headerReference w:type="default" r:id="rId11"/>
          <w:pgSz w:w="12240" w:h="20160" w:code="5"/>
          <w:pgMar w:top="2160" w:right="1440" w:bottom="1440" w:left="1440" w:header="720" w:footer="720" w:gutter="0"/>
          <w:pgNumType w:start="1"/>
          <w:cols w:space="720"/>
          <w:docGrid w:linePitch="360"/>
        </w:sectPr>
      </w:pPr>
    </w:p>
    <w:p w:rsidR="006C24E3" w:rsidRDefault="006C24E3" w:rsidP="006C24E3">
      <w:pPr>
        <w:pStyle w:val="bpuIntro"/>
      </w:pPr>
    </w:p>
    <w:p w:rsidR="006C24E3" w:rsidRDefault="006C24E3" w:rsidP="006C24E3">
      <w:pPr>
        <w:pStyle w:val="bpuSponsor"/>
      </w:pPr>
      <w:r>
        <w:t>Sponsored by:</w:t>
      </w:r>
    </w:p>
    <w:p w:rsidR="006C24E3" w:rsidRDefault="006C24E3" w:rsidP="006C24E3">
      <w:pPr>
        <w:pStyle w:val="bpuSponsor"/>
      </w:pPr>
      <w:proofErr w:type="gramStart"/>
      <w:r>
        <w:t>Assemblywoman  VERLINA</w:t>
      </w:r>
      <w:proofErr w:type="gramEnd"/>
      <w:r>
        <w:t xml:space="preserve"> REYNOLDS-JACKSON</w:t>
      </w:r>
    </w:p>
    <w:p w:rsidR="006C24E3" w:rsidRDefault="006C24E3" w:rsidP="006C24E3">
      <w:pPr>
        <w:pStyle w:val="bpuSponsor"/>
      </w:pPr>
      <w:r>
        <w:t>District 15 (Hunterdon and Mercer)</w:t>
      </w:r>
    </w:p>
    <w:p w:rsidR="006C24E3" w:rsidRDefault="006C24E3" w:rsidP="006C24E3">
      <w:pPr>
        <w:pStyle w:val="bpuSponsor"/>
      </w:pPr>
      <w:proofErr w:type="gramStart"/>
      <w:r>
        <w:t>Assemblyman  BENJIE</w:t>
      </w:r>
      <w:proofErr w:type="gramEnd"/>
      <w:r>
        <w:t xml:space="preserve"> E. WIMBERLY</w:t>
      </w:r>
    </w:p>
    <w:p w:rsidR="006C24E3" w:rsidRDefault="006C24E3" w:rsidP="006C24E3">
      <w:pPr>
        <w:pStyle w:val="bpuSponsor"/>
      </w:pPr>
      <w:r>
        <w:t>District 35 (Bergen and Passaic)</w:t>
      </w:r>
    </w:p>
    <w:p w:rsidR="006C24E3" w:rsidRDefault="006C24E3" w:rsidP="006C24E3">
      <w:pPr>
        <w:pStyle w:val="bpuSponsor"/>
      </w:pPr>
      <w:proofErr w:type="gramStart"/>
      <w:r>
        <w:t>Assemblyman  CLINTON</w:t>
      </w:r>
      <w:proofErr w:type="gramEnd"/>
      <w:r>
        <w:t xml:space="preserve"> CALABRESE</w:t>
      </w:r>
    </w:p>
    <w:p w:rsidR="006C24E3" w:rsidRDefault="006C24E3" w:rsidP="006C24E3">
      <w:pPr>
        <w:pStyle w:val="bpuSponsor"/>
      </w:pPr>
      <w:r>
        <w:t>District 36 (Bergen and Passaic)</w:t>
      </w:r>
    </w:p>
    <w:p w:rsidR="006C24E3" w:rsidRDefault="006C24E3" w:rsidP="006C24E3">
      <w:pPr>
        <w:pStyle w:val="bpuSponsor"/>
      </w:pPr>
    </w:p>
    <w:p w:rsidR="006C24E3" w:rsidRDefault="006C24E3" w:rsidP="006C24E3">
      <w:pPr>
        <w:pStyle w:val="bpuSponsor"/>
      </w:pPr>
      <w:r>
        <w:t>Co-Sponsored by:</w:t>
      </w:r>
    </w:p>
    <w:p w:rsidR="006C24E3" w:rsidRPr="006C24E3" w:rsidRDefault="006C24E3" w:rsidP="006C24E3">
      <w:pPr>
        <w:pStyle w:val="bpuSponsor"/>
      </w:pPr>
      <w:r w:rsidRPr="006C24E3">
        <w:t>Assemblywomen Sumter, Speight and Timberlake</w:t>
      </w:r>
    </w:p>
    <w:p w:rsidR="006C24E3" w:rsidRDefault="006C24E3" w:rsidP="006C24E3">
      <w:pPr>
        <w:pStyle w:val="bpuSponsor"/>
      </w:pPr>
    </w:p>
    <w:p w:rsidR="006C24E3" w:rsidRDefault="006C24E3" w:rsidP="006C24E3"/>
    <w:p w:rsidR="006C24E3" w:rsidRPr="006C24E3" w:rsidRDefault="006C24E3" w:rsidP="006C24E3"/>
    <w:p w:rsidR="006C24E3" w:rsidRDefault="006C24E3" w:rsidP="006C24E3">
      <w:pPr>
        <w:pStyle w:val="bpuSponsor"/>
      </w:pPr>
    </w:p>
    <w:p w:rsidR="006C24E3" w:rsidRDefault="006C24E3" w:rsidP="006C24E3">
      <w:pPr>
        <w:pStyle w:val="bpuSponsor"/>
      </w:pPr>
      <w:r>
        <w:t>SYNOPSIS</w:t>
      </w:r>
    </w:p>
    <w:p w:rsidR="006C24E3" w:rsidRDefault="006C24E3" w:rsidP="006C24E3">
      <w:pPr>
        <w:pStyle w:val="bpuNormText"/>
      </w:pPr>
      <w:r>
        <w:tab/>
        <w:t>Pe</w:t>
      </w:r>
      <w:r w:rsidR="00183DB6">
        <w:t xml:space="preserve">rmits municipalities to adopt ordinances to enforce certain </w:t>
      </w:r>
      <w:proofErr w:type="gramStart"/>
      <w:r w:rsidR="00183DB6">
        <w:t>landlord</w:t>
      </w:r>
      <w:proofErr w:type="gramEnd"/>
      <w:r w:rsidR="00183DB6">
        <w:t xml:space="preserve"> code violations as tax liens.</w:t>
      </w:r>
    </w:p>
    <w:p w:rsidR="006C24E3" w:rsidRDefault="006C24E3" w:rsidP="006C24E3">
      <w:pPr>
        <w:pStyle w:val="bpuNormText"/>
      </w:pPr>
    </w:p>
    <w:p w:rsidR="006C24E3" w:rsidRDefault="006C24E3" w:rsidP="006C24E3">
      <w:pPr>
        <w:pStyle w:val="bpuSponsor"/>
      </w:pPr>
      <w:r>
        <w:t xml:space="preserve">CURRENT VERSION OF TEXT </w:t>
      </w:r>
    </w:p>
    <w:p w:rsidR="006C24E3" w:rsidRDefault="006C24E3" w:rsidP="006C24E3">
      <w:pPr>
        <w:pStyle w:val="bpuNormText"/>
      </w:pPr>
      <w:r>
        <w:tab/>
        <w:t>Introduced Pending Technical Review by Legislative Counsel.</w:t>
      </w:r>
    </w:p>
    <w:p w:rsidR="006C24E3" w:rsidRDefault="006C24E3" w:rsidP="006C24E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C24E3" w:rsidRDefault="006C24E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C24E3" w:rsidSect="006C24E3">
          <w:type w:val="continuous"/>
          <w:pgSz w:w="12240" w:h="20160" w:code="5"/>
          <w:pgMar w:top="2160" w:right="2275" w:bottom="1440" w:left="2275" w:header="72" w:footer="720" w:gutter="0"/>
          <w:pgNumType w:start="1"/>
          <w:cols w:space="720"/>
          <w:docGrid w:linePitch="360"/>
        </w:sectPr>
      </w:pPr>
    </w:p>
    <w:p w:rsidR="00CF2FF0" w:rsidRDefault="00CF2FF0" w:rsidP="00CF2FF0">
      <w:pPr>
        <w:pStyle w:val="HangingAnAct"/>
      </w:pPr>
      <w:r w:rsidRPr="00CF2FF0">
        <w:rPr>
          <w:rStyle w:val="BillHead"/>
        </w:rPr>
        <w:lastRenderedPageBreak/>
        <w:t>An Act</w:t>
      </w:r>
      <w:r>
        <w:rPr>
          <w:rStyle w:val="BillHead"/>
        </w:rPr>
        <w:t xml:space="preserve"> </w:t>
      </w:r>
      <w:r w:rsidRPr="006266CF">
        <w:t xml:space="preserve">authorizing a municipality to enforce certain </w:t>
      </w:r>
      <w:proofErr w:type="gramStart"/>
      <w:r w:rsidRPr="006266CF">
        <w:t>landlord</w:t>
      </w:r>
      <w:proofErr w:type="gramEnd"/>
      <w:r w:rsidRPr="006266CF">
        <w:t xml:space="preserve"> code violations as liens</w:t>
      </w:r>
      <w:r w:rsidRPr="006266CF">
        <w:rPr>
          <w:rStyle w:val="HangingAnActChar"/>
        </w:rPr>
        <w:t xml:space="preserve"> and supplementing chapter 48 of Title 40 of the Revised Statutes</w:t>
      </w:r>
      <w:r w:rsidRPr="00F7165C">
        <w:rPr>
          <w:rStyle w:val="HangingAnActChar"/>
        </w:rPr>
        <w:t>.</w:t>
      </w:r>
    </w:p>
    <w:p w:rsidR="00CF2FF0" w:rsidRPr="00D71D68" w:rsidRDefault="00CF2FF0" w:rsidP="00CF2FF0"/>
    <w:p w:rsidR="00CF2FF0" w:rsidRPr="00AA7880" w:rsidRDefault="00CF2FF0" w:rsidP="00CF2FF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CF2FF0" w:rsidRPr="00D71D68" w:rsidRDefault="00CF2FF0" w:rsidP="00CF2FF0"/>
    <w:p w:rsidR="00CF2FF0" w:rsidRPr="00B57183" w:rsidRDefault="00CF2FF0" w:rsidP="00CF2FF0">
      <w:r w:rsidRPr="00B57183">
        <w:tab/>
      </w:r>
      <w:r w:rsidRPr="006266CF">
        <w:t>1.</w:t>
      </w:r>
      <w:r w:rsidR="006C24E3">
        <w:tab/>
      </w:r>
      <w:proofErr w:type="gramStart"/>
      <w:r w:rsidRPr="00B57183">
        <w:t>a</w:t>
      </w:r>
      <w:proofErr w:type="gramEnd"/>
      <w:r w:rsidRPr="00B57183">
        <w:t xml:space="preserve">.  </w:t>
      </w:r>
      <w:proofErr w:type="gramStart"/>
      <w:r w:rsidRPr="00B57183">
        <w:t xml:space="preserve">A municipality may direct by ordinance of the governing body that any charge issued to a landlord pursuant to a housing code, building code, or health code, concerning residential property leased by the landlord, shall become a lien on the property, enforceable in the manner provided for real property tax liens in chapter 5 of Title 54 of the Revised Statutes, if the charge remains unpaid on the first day of the thirteenth month next following the </w:t>
      </w:r>
      <w:r w:rsidRPr="006266CF">
        <w:t>date when the charge becomes due and owing.</w:t>
      </w:r>
      <w:proofErr w:type="gramEnd"/>
      <w:r w:rsidRPr="006266CF">
        <w:t xml:space="preserve">  </w:t>
      </w:r>
      <w:proofErr w:type="gramStart"/>
      <w:r w:rsidRPr="006266CF">
        <w:t>At least 90 days prior to filing an unpaid charge as a municipal lien against the property pursuant to this section, the municipality shall serve written notice to the property owner indicating that if the charge remains unpaid it shall be converted into a municipal lien, and shall provide the owner the opportunity to pay the fine or request a hearing before a court of competent jurisdiction.</w:t>
      </w:r>
      <w:proofErr w:type="gramEnd"/>
      <w:r w:rsidRPr="006266CF">
        <w:t xml:space="preserve">  If the </w:t>
      </w:r>
      <w:proofErr w:type="gramStart"/>
      <w:r w:rsidRPr="006266CF">
        <w:t>landlord</w:t>
      </w:r>
      <w:proofErr w:type="gramEnd"/>
      <w:r w:rsidRPr="006266CF">
        <w:t xml:space="preserve"> is not registered, in violation of section 2 of P.L.1974,</w:t>
      </w:r>
      <w:r w:rsidR="006C24E3">
        <w:t> </w:t>
      </w:r>
      <w:r w:rsidRPr="006266CF">
        <w:t>c.50</w:t>
      </w:r>
      <w:r w:rsidR="006C24E3">
        <w:t> </w:t>
      </w:r>
      <w:r w:rsidRPr="006266CF">
        <w:t>(C.46:8-28), then this additional notice requirement shall not apply prior to conversion into a municipal lien. In a municipality that has adopted an ordinance under this subsection, at the time when the</w:t>
      </w:r>
      <w:r w:rsidRPr="00B57183">
        <w:t xml:space="preserve"> charge becomes a lien, the municipal officer responsible for housing code enforcement shall file a copy of the lien and certification with the municipal tax collector.  This lien shall be added to and become and form part of the taxes next to be assessed and levied upon such dwelling or lands, the same to bear interest at the same rate as taxes, and shall be collected and enforced by the same officers and in the same manner as taxes.</w:t>
      </w:r>
    </w:p>
    <w:p w:rsidR="00CF2FF0" w:rsidRPr="00B57183" w:rsidRDefault="00CF2FF0" w:rsidP="00CF2FF0">
      <w:r>
        <w:tab/>
        <w:t>b.</w:t>
      </w:r>
      <w:r>
        <w:tab/>
      </w:r>
      <w:r w:rsidRPr="00B57183">
        <w:t xml:space="preserve">As used in this section, “charge” means any fee, fine, penalty, or other charge issued to a </w:t>
      </w:r>
      <w:proofErr w:type="gramStart"/>
      <w:r w:rsidRPr="00B57183">
        <w:t>landlord</w:t>
      </w:r>
      <w:proofErr w:type="gramEnd"/>
      <w:r w:rsidRPr="00B57183">
        <w:t>, concerning residential property leased by the landlord, pursuant to a housing, building, or health code.</w:t>
      </w:r>
    </w:p>
    <w:p w:rsidR="00CF2FF0" w:rsidRDefault="00CF2FF0" w:rsidP="00CF2FF0"/>
    <w:p w:rsidR="00CF2FF0" w:rsidRDefault="00CF2FF0" w:rsidP="00CF2FF0">
      <w:r>
        <w:tab/>
      </w:r>
      <w:r w:rsidRPr="006266CF">
        <w:t>2.</w:t>
      </w:r>
      <w:r>
        <w:tab/>
        <w:t>This act shall take effect immediately.</w:t>
      </w:r>
    </w:p>
    <w:p w:rsidR="00CF2FF0" w:rsidRDefault="00CF2FF0" w:rsidP="00CF2FF0"/>
    <w:p w:rsidR="00E7752C" w:rsidRDefault="00E7752C" w:rsidP="00E7752C"/>
    <w:p w:rsidR="006266CF" w:rsidRDefault="006266CF" w:rsidP="006266CF">
      <w:pPr>
        <w:jc w:val="center"/>
      </w:pPr>
      <w:r>
        <w:t>STATEMENT</w:t>
      </w:r>
    </w:p>
    <w:p w:rsidR="006266CF" w:rsidRDefault="006266CF" w:rsidP="006266CF">
      <w:pPr>
        <w:jc w:val="center"/>
      </w:pPr>
    </w:p>
    <w:p w:rsidR="006266CF" w:rsidRPr="006266CF" w:rsidRDefault="006266CF" w:rsidP="006266CF">
      <w:pPr>
        <w:rPr>
          <w:spacing w:val="0"/>
        </w:rPr>
      </w:pPr>
      <w:r>
        <w:tab/>
      </w:r>
      <w:r>
        <w:rPr>
          <w:spacing w:val="0"/>
        </w:rPr>
        <w:t>This bill</w:t>
      </w:r>
      <w:r w:rsidRPr="006266CF">
        <w:rPr>
          <w:spacing w:val="0"/>
        </w:rPr>
        <w:t xml:space="preserve"> would change </w:t>
      </w:r>
      <w:proofErr w:type="gramStart"/>
      <w:r w:rsidRPr="006266CF">
        <w:rPr>
          <w:spacing w:val="0"/>
        </w:rPr>
        <w:t>landlord</w:t>
      </w:r>
      <w:proofErr w:type="gramEnd"/>
      <w:r w:rsidRPr="006266CF">
        <w:rPr>
          <w:spacing w:val="0"/>
        </w:rPr>
        <w:t xml:space="preserve"> registration requirements in existing law to require submission of the telephone number and email address of the record owner and managing agent of a residential rental property, in addition to the existing requirement for name and address submission.  The </w:t>
      </w:r>
      <w:r>
        <w:rPr>
          <w:spacing w:val="0"/>
        </w:rPr>
        <w:t>bill</w:t>
      </w:r>
      <w:r w:rsidRPr="006266CF">
        <w:rPr>
          <w:spacing w:val="0"/>
        </w:rPr>
        <w:t xml:space="preserve"> would also clarify that the existing requirement on a </w:t>
      </w:r>
      <w:proofErr w:type="gramStart"/>
      <w:r w:rsidRPr="006266CF">
        <w:rPr>
          <w:spacing w:val="0"/>
        </w:rPr>
        <w:t>landlord</w:t>
      </w:r>
      <w:proofErr w:type="gramEnd"/>
      <w:r w:rsidRPr="006266CF">
        <w:rPr>
          <w:spacing w:val="0"/>
        </w:rPr>
        <w:t xml:space="preserve"> and managing agent to register their “address” refers to </w:t>
      </w:r>
      <w:r w:rsidRPr="006266CF">
        <w:rPr>
          <w:spacing w:val="0"/>
        </w:rPr>
        <w:lastRenderedPageBreak/>
        <w:t xml:space="preserve">registration of the physical address of the home or business of the landlord and managing agent.  </w:t>
      </w:r>
    </w:p>
    <w:p w:rsidR="006266CF" w:rsidRPr="006266CF" w:rsidRDefault="006266CF" w:rsidP="006266CF">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66CF">
        <w:rPr>
          <w:spacing w:val="0"/>
        </w:rPr>
        <w:tab/>
        <w:t xml:space="preserve">The </w:t>
      </w:r>
      <w:r>
        <w:rPr>
          <w:spacing w:val="0"/>
        </w:rPr>
        <w:t>bill</w:t>
      </w:r>
      <w:r w:rsidRPr="006266CF">
        <w:rPr>
          <w:spacing w:val="0"/>
        </w:rPr>
        <w:t xml:space="preserve"> further require</w:t>
      </w:r>
      <w:r>
        <w:rPr>
          <w:spacing w:val="0"/>
        </w:rPr>
        <w:t>s</w:t>
      </w:r>
      <w:r w:rsidRPr="006266CF">
        <w:rPr>
          <w:spacing w:val="0"/>
        </w:rPr>
        <w:t xml:space="preserve"> that, if the landlord is a limited liability company (“LLC”), then an LLC member would only have to register if the LLC is member-managed, and the member possesses a business interest of 20 percent or greater.  The </w:t>
      </w:r>
      <w:r>
        <w:rPr>
          <w:spacing w:val="0"/>
        </w:rPr>
        <w:t>bill</w:t>
      </w:r>
      <w:r w:rsidRPr="006266CF">
        <w:rPr>
          <w:spacing w:val="0"/>
        </w:rPr>
        <w:t xml:space="preserve"> require</w:t>
      </w:r>
      <w:r>
        <w:rPr>
          <w:spacing w:val="0"/>
        </w:rPr>
        <w:t>s</w:t>
      </w:r>
      <w:r w:rsidRPr="006266CF">
        <w:rPr>
          <w:spacing w:val="0"/>
        </w:rPr>
        <w:t xml:space="preserve"> an LLC manager to register if the business is a manager-managed LLC.  The </w:t>
      </w:r>
      <w:r>
        <w:rPr>
          <w:spacing w:val="0"/>
        </w:rPr>
        <w:t>bill</w:t>
      </w:r>
      <w:r w:rsidRPr="006266CF">
        <w:rPr>
          <w:spacing w:val="0"/>
        </w:rPr>
        <w:t xml:space="preserve"> would also restrict a court’s ability to enforce housing code charges, building code charges, health code charges, and charges issued under the "Hotel and Multiple Dwelling Law," (“HDML”) P.L.1967,</w:t>
      </w:r>
      <w:r w:rsidR="006C24E3">
        <w:rPr>
          <w:spacing w:val="0"/>
        </w:rPr>
        <w:t> </w:t>
      </w:r>
      <w:r w:rsidRPr="006266CF">
        <w:rPr>
          <w:spacing w:val="0"/>
        </w:rPr>
        <w:t>c.76</w:t>
      </w:r>
      <w:r w:rsidR="006C24E3">
        <w:rPr>
          <w:spacing w:val="0"/>
        </w:rPr>
        <w:t> </w:t>
      </w:r>
      <w:r w:rsidRPr="006266CF">
        <w:rPr>
          <w:spacing w:val="0"/>
        </w:rPr>
        <w:t>(C.55:13A-1</w:t>
      </w:r>
      <w:r w:rsidR="006C24E3">
        <w:rPr>
          <w:spacing w:val="0"/>
        </w:rPr>
        <w:t> </w:t>
      </w:r>
      <w:r w:rsidRPr="006266CF">
        <w:rPr>
          <w:spacing w:val="0"/>
        </w:rPr>
        <w:t>et</w:t>
      </w:r>
      <w:r w:rsidR="006C24E3">
        <w:rPr>
          <w:spacing w:val="0"/>
        </w:rPr>
        <w:t> </w:t>
      </w:r>
      <w:r w:rsidRPr="006266CF">
        <w:rPr>
          <w:spacing w:val="0"/>
        </w:rPr>
        <w:t>seq.),</w:t>
      </w:r>
      <w:r w:rsidR="006C24E3">
        <w:rPr>
          <w:spacing w:val="0"/>
        </w:rPr>
        <w:t> </w:t>
      </w:r>
      <w:r w:rsidRPr="006266CF">
        <w:rPr>
          <w:spacing w:val="0"/>
        </w:rPr>
        <w:t xml:space="preserve">against a member of an LLC unless the LLC is member-managed, and the member possesses at least a 20 percent interest in the business.  The </w:t>
      </w:r>
      <w:r>
        <w:rPr>
          <w:spacing w:val="0"/>
        </w:rPr>
        <w:t>bill</w:t>
      </w:r>
      <w:r w:rsidRPr="006266CF">
        <w:rPr>
          <w:spacing w:val="0"/>
        </w:rPr>
        <w:t xml:space="preserve"> would also change the timeframe for when the charge becomes enforceable against LLC members and certain other individuals associated with the </w:t>
      </w:r>
      <w:proofErr w:type="gramStart"/>
      <w:r w:rsidRPr="006266CF">
        <w:rPr>
          <w:spacing w:val="0"/>
        </w:rPr>
        <w:t>landlord</w:t>
      </w:r>
      <w:proofErr w:type="gramEnd"/>
      <w:r w:rsidRPr="006266CF">
        <w:rPr>
          <w:spacing w:val="0"/>
        </w:rPr>
        <w:t xml:space="preserve"> business, from the first day of the thirteenth month following the due date of the charge to the first day of the sixth month following that date.  </w:t>
      </w:r>
    </w:p>
    <w:p w:rsidR="006266CF" w:rsidRPr="006266CF" w:rsidRDefault="006266CF" w:rsidP="006266CF">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66CF">
        <w:rPr>
          <w:spacing w:val="0"/>
        </w:rPr>
        <w:tab/>
      </w:r>
      <w:proofErr w:type="gramStart"/>
      <w:r w:rsidRPr="006266CF">
        <w:rPr>
          <w:spacing w:val="0"/>
        </w:rPr>
        <w:t xml:space="preserve">Finally, the </w:t>
      </w:r>
      <w:r w:rsidR="00EC52EF">
        <w:rPr>
          <w:spacing w:val="0"/>
        </w:rPr>
        <w:t>bill allows</w:t>
      </w:r>
      <w:r w:rsidRPr="006266CF">
        <w:rPr>
          <w:spacing w:val="0"/>
        </w:rPr>
        <w:t xml:space="preserve"> a municipality to amend their housing, building, and health codes to direct that any charge issued to a landlord for violating the code may be enforced as a lien if, at least 90 days prior to filing an unpaid charge as a municipal lien, the municipality serves written notice on the property owner, and provides the owner with an opportunity to pay the charge or request a court hearing.</w:t>
      </w:r>
      <w:proofErr w:type="gramEnd"/>
      <w:r w:rsidRPr="006266CF">
        <w:rPr>
          <w:spacing w:val="0"/>
        </w:rPr>
        <w:t xml:space="preserve">  </w:t>
      </w:r>
      <w:r w:rsidR="00EC52EF">
        <w:rPr>
          <w:spacing w:val="0"/>
        </w:rPr>
        <w:t>I</w:t>
      </w:r>
      <w:r w:rsidRPr="006266CF">
        <w:rPr>
          <w:spacing w:val="0"/>
        </w:rPr>
        <w:t xml:space="preserve">f the </w:t>
      </w:r>
      <w:proofErr w:type="gramStart"/>
      <w:r w:rsidRPr="006266CF">
        <w:rPr>
          <w:spacing w:val="0"/>
        </w:rPr>
        <w:t>landlord</w:t>
      </w:r>
      <w:proofErr w:type="gramEnd"/>
      <w:r w:rsidRPr="006266CF">
        <w:rPr>
          <w:spacing w:val="0"/>
        </w:rPr>
        <w:t xml:space="preserve"> is not registered, in violation of section 2 of P.L.1974, c.50 (C.46:8-28), then this additional notice requirement would not apply prior to conversion into a municipal lien.</w:t>
      </w:r>
    </w:p>
    <w:sectPr w:rsidR="006266CF" w:rsidRPr="006266CF" w:rsidSect="006C24E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BA7" w:rsidRDefault="006B7BA7">
      <w:r>
        <w:separator/>
      </w:r>
    </w:p>
  </w:endnote>
  <w:endnote w:type="continuationSeparator" w:id="0">
    <w:p w:rsidR="006B7BA7" w:rsidRDefault="006B7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BA7" w:rsidRDefault="006B7BA7">
      <w:r>
        <w:separator/>
      </w:r>
    </w:p>
  </w:footnote>
  <w:footnote w:type="continuationSeparator" w:id="0">
    <w:p w:rsidR="006B7BA7" w:rsidRDefault="006B7B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07F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C24E3" w:rsidRDefault="006C24E3" w:rsidP="006C24E3">
    <w:pPr>
      <w:pStyle w:val="bpuHeadSpon"/>
    </w:pPr>
    <w:r w:rsidRPr="006C24E3">
      <w:rPr>
        <w:rStyle w:val="bpuHeadSponChar"/>
      </w:rPr>
      <w:t>A826</w:t>
    </w:r>
    <w:r>
      <w:t xml:space="preserve"> REYNOLDS-JACKSON, WIMBERLY</w:t>
    </w:r>
  </w:p>
  <w:p w:rsidR="006C24E3" w:rsidRDefault="006C24E3" w:rsidP="006C24E3">
    <w:pPr>
      <w:pStyle w:val="bpuHeadSpon"/>
    </w:pPr>
    <w:r>
      <w:fldChar w:fldCharType="begin"/>
    </w:r>
    <w:r>
      <w:instrText xml:space="preserve"> PAGE  \* MERGEFORMAT </w:instrText>
    </w:r>
    <w:r>
      <w:fldChar w:fldCharType="separate"/>
    </w:r>
    <w:r w:rsidR="00407F24">
      <w:rPr>
        <w:noProof/>
      </w:rPr>
      <w:t>3</w:t>
    </w:r>
    <w:r>
      <w:fldChar w:fldCharType="end"/>
    </w:r>
  </w:p>
  <w:p w:rsidR="006C24E3" w:rsidRPr="00AF575C" w:rsidRDefault="006C24E3" w:rsidP="006C24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C24E3" w:rsidRDefault="006C24E3" w:rsidP="006C24E3">
    <w:pPr>
      <w:pStyle w:val="bpuHeadSpon"/>
    </w:pPr>
    <w:r w:rsidRPr="006C24E3">
      <w:rPr>
        <w:rStyle w:val="bpuHeadSponChar"/>
      </w:rPr>
      <w:t>A826</w:t>
    </w:r>
    <w:r>
      <w:t xml:space="preserve"> REYNOLDS-JACKSON, WIMBERLY</w:t>
    </w:r>
  </w:p>
  <w:p w:rsidR="006C24E3" w:rsidRDefault="006C24E3" w:rsidP="006C24E3">
    <w:pPr>
      <w:pStyle w:val="bpuHeadSpon"/>
    </w:pPr>
    <w:r>
      <w:fldChar w:fldCharType="begin"/>
    </w:r>
    <w:r>
      <w:instrText xml:space="preserve"> PAGE  \* MERGEFORMAT </w:instrText>
    </w:r>
    <w:r>
      <w:fldChar w:fldCharType="separate"/>
    </w:r>
    <w:r w:rsidR="00407F24">
      <w:rPr>
        <w:noProof/>
      </w:rPr>
      <w:t>2</w:t>
    </w:r>
    <w:r>
      <w:fldChar w:fldCharType="end"/>
    </w:r>
  </w:p>
  <w:p w:rsidR="006C24E3" w:rsidRDefault="006C24E3" w:rsidP="006C24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BA7"/>
    <w:rsid w:val="00000169"/>
    <w:rsid w:val="00004D4D"/>
    <w:rsid w:val="00007B70"/>
    <w:rsid w:val="00007DDD"/>
    <w:rsid w:val="00010512"/>
    <w:rsid w:val="00011BAB"/>
    <w:rsid w:val="000154F3"/>
    <w:rsid w:val="000203E7"/>
    <w:rsid w:val="00020E5B"/>
    <w:rsid w:val="000219C8"/>
    <w:rsid w:val="00030BB1"/>
    <w:rsid w:val="00032298"/>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32DC"/>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3DB6"/>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79C2"/>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7F24"/>
    <w:rsid w:val="0041453D"/>
    <w:rsid w:val="004206B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6CF"/>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7BA7"/>
    <w:rsid w:val="006C24E3"/>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732"/>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2FF0"/>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6705"/>
    <w:rsid w:val="00EB0958"/>
    <w:rsid w:val="00EB167F"/>
    <w:rsid w:val="00EB28D8"/>
    <w:rsid w:val="00EB6042"/>
    <w:rsid w:val="00EB71AE"/>
    <w:rsid w:val="00EC050B"/>
    <w:rsid w:val="00EC52EF"/>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90AE3BB-A9C2-4B61-8DDF-2BD9442FF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C2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82097-1A74-4003-85F0-D7F9994B7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784</Words>
  <Characters>4013</Characters>
  <Application>Microsoft Office Word</Application>
  <DocSecurity>0</DocSecurity>
  <Lines>105</Lines>
  <Paragraphs>26</Paragraphs>
  <ScaleCrop>false</ScaleCrop>
  <HeadingPairs>
    <vt:vector size="2" baseType="variant">
      <vt:variant>
        <vt:lpstr>Title</vt:lpstr>
      </vt:variant>
      <vt:variant>
        <vt:i4>1</vt:i4>
      </vt:variant>
    </vt:vector>
  </HeadingPairs>
  <TitlesOfParts>
    <vt:vector size="1" baseType="lpstr">
      <vt:lpstr>A826</vt:lpstr>
    </vt:vector>
  </TitlesOfParts>
  <Manager>R224</Manager>
  <Company>OFFICE of LEGISLATIVE SERVICES</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A826</dc:title>
  <dc:creator>Assemblywoman  REYNOLDS-JACKSON, Assemblyman  WIMBERLY</dc:creator>
  <cp:keywords>A826|3|AU |220|0|0|!|0|</cp:keywords>
  <dc:description>PREFILED 2020</dc:description>
  <cp:lastModifiedBy>Franks, Denise</cp:lastModifiedBy>
  <cp:revision>2</cp:revision>
  <cp:lastPrinted>2019-12-26T18:35:00Z</cp:lastPrinted>
  <dcterms:created xsi:type="dcterms:W3CDTF">2019-12-27T17:21:00Z</dcterms:created>
  <dcterms:modified xsi:type="dcterms:W3CDTF">2019-12-27T17:21:00Z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