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CA2" w:rsidRDefault="00517CA2" w:rsidP="00517CA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953 </w:t>
      </w:r>
    </w:p>
    <w:p w:rsidR="00517CA2" w:rsidRPr="00517CA2" w:rsidRDefault="00517CA2" w:rsidP="00517CA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953815" r:id="rId8"/>
        </w:object>
      </w:r>
    </w:p>
    <w:p w:rsidR="00517CA2" w:rsidRDefault="00517CA2" w:rsidP="00517CA2">
      <w:pPr>
        <w:pStyle w:val="bpuState"/>
      </w:pPr>
      <w:r>
        <w:t>STATE OF NEW JERSEY</w:t>
      </w:r>
    </w:p>
    <w:p w:rsidR="00517CA2" w:rsidRDefault="00517CA2" w:rsidP="00517CA2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517CA2" w:rsidRDefault="00517CA2" w:rsidP="00517CA2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953816" r:id="rId9"/>
        </w:object>
      </w:r>
      <w:r>
        <w:t xml:space="preserve">  </w:t>
      </w:r>
    </w:p>
    <w:p w:rsidR="00517CA2" w:rsidRDefault="00517CA2" w:rsidP="00517CA2">
      <w:pPr>
        <w:pStyle w:val="bpuIntro"/>
      </w:pPr>
      <w:r>
        <w:t>PRE-FILED FOR INTRODUCTION IN THE 2020 SESSION</w:t>
      </w:r>
    </w:p>
    <w:p w:rsidR="00517CA2" w:rsidRDefault="00517CA2" w:rsidP="00517CA2">
      <w:pPr>
        <w:pStyle w:val="bpuIntro"/>
      </w:pPr>
    </w:p>
    <w:p w:rsidR="00517CA2" w:rsidRDefault="00517CA2" w:rsidP="00517CA2">
      <w:pPr>
        <w:pStyle w:val="bpuIntro"/>
        <w:sectPr w:rsidR="00517CA2" w:rsidSect="00517CA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17CA2" w:rsidRDefault="00517CA2" w:rsidP="00517CA2">
      <w:pPr>
        <w:pStyle w:val="bpuIntro"/>
      </w:pPr>
    </w:p>
    <w:p w:rsidR="00517CA2" w:rsidRDefault="00517CA2" w:rsidP="00517CA2">
      <w:pPr>
        <w:pStyle w:val="bpuSponsor"/>
      </w:pPr>
      <w:r>
        <w:t>Sponsored by:</w:t>
      </w:r>
    </w:p>
    <w:p w:rsidR="00517CA2" w:rsidRDefault="00517CA2" w:rsidP="00517CA2">
      <w:pPr>
        <w:pStyle w:val="bpuSponsor"/>
      </w:pPr>
      <w:proofErr w:type="gramStart"/>
      <w:r>
        <w:t>Assemblyman  ROBERT</w:t>
      </w:r>
      <w:proofErr w:type="gramEnd"/>
      <w:r>
        <w:t xml:space="preserve"> J. KARABINCHAK</w:t>
      </w:r>
    </w:p>
    <w:p w:rsidR="00517CA2" w:rsidRDefault="00517CA2" w:rsidP="00517CA2">
      <w:pPr>
        <w:pStyle w:val="bpuSponsor"/>
      </w:pPr>
      <w:r>
        <w:t>District 18 (Middlesex)</w:t>
      </w: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  <w:r>
        <w:t>SYNOPSIS</w:t>
      </w:r>
    </w:p>
    <w:p w:rsidR="00517CA2" w:rsidRDefault="00517CA2" w:rsidP="00517CA2">
      <w:pPr>
        <w:pStyle w:val="bpuNormText"/>
      </w:pPr>
      <w:r>
        <w:tab/>
        <w:t xml:space="preserve">Requires architects disclose insurance coverage. </w:t>
      </w:r>
    </w:p>
    <w:p w:rsidR="00517CA2" w:rsidRDefault="00517CA2" w:rsidP="00517CA2">
      <w:pPr>
        <w:pStyle w:val="bpuNormText"/>
      </w:pPr>
    </w:p>
    <w:p w:rsidR="00517CA2" w:rsidRDefault="00517CA2" w:rsidP="00517CA2">
      <w:pPr>
        <w:pStyle w:val="bpuSponsor"/>
      </w:pPr>
      <w:r>
        <w:t xml:space="preserve">CURRENT VERSION OF TEXT </w:t>
      </w:r>
    </w:p>
    <w:p w:rsidR="00517CA2" w:rsidRDefault="00517CA2" w:rsidP="00517CA2">
      <w:pPr>
        <w:pStyle w:val="bpuNormText"/>
      </w:pPr>
      <w:r>
        <w:tab/>
        <w:t>Introduced Pending Technical Review by Legislative Counsel.</w:t>
      </w:r>
    </w:p>
    <w:p w:rsidR="00517CA2" w:rsidRDefault="00517CA2" w:rsidP="00517CA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17CA2" w:rsidRDefault="00517CA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17CA2" w:rsidSect="00517CA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A5E9E" w:rsidRPr="00677316" w:rsidRDefault="009A5E9E" w:rsidP="009A5E9E">
      <w:pPr>
        <w:pStyle w:val="HangingAnAct"/>
        <w:rPr>
          <w:rStyle w:val="HangingAnActChar"/>
        </w:rPr>
      </w:pPr>
      <w:r w:rsidRPr="009A5E9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insurance for architects and amending P.L.1989, c.275.</w:t>
      </w:r>
    </w:p>
    <w:p w:rsidR="009A5E9E" w:rsidRPr="00D71D68" w:rsidRDefault="009A5E9E" w:rsidP="009A5E9E"/>
    <w:p w:rsidR="009A5E9E" w:rsidRPr="00AA7880" w:rsidRDefault="009A5E9E" w:rsidP="009A5E9E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9A5E9E" w:rsidRDefault="009A5E9E" w:rsidP="009A5E9E"/>
    <w:p w:rsidR="009A5E9E" w:rsidRDefault="009A5E9E" w:rsidP="009A5E9E">
      <w:r>
        <w:tab/>
        <w:t>1.</w:t>
      </w:r>
      <w:r>
        <w:tab/>
        <w:t>Section 4 of P.L.1989, c.275 (C.45:3-17) is amended to read as follows:</w:t>
      </w:r>
    </w:p>
    <w:p w:rsidR="009A5E9E" w:rsidRDefault="009A5E9E" w:rsidP="009A5E9E">
      <w:r>
        <w:tab/>
        <w:t>4.</w:t>
      </w:r>
      <w:r>
        <w:tab/>
      </w:r>
      <w:proofErr w:type="gramStart"/>
      <w:r>
        <w:t>a</w:t>
      </w:r>
      <w:proofErr w:type="gramEnd"/>
      <w:r>
        <w:t xml:space="preserve">.  </w:t>
      </w:r>
      <w:proofErr w:type="gramStart"/>
      <w:r>
        <w:t>Architectural services shall not be rendered or offered through any business associations other than a sole proprietorship of a licensed architect, a partnership of licensed architects, a partnership of closely allied professionals including at least one licensed architect, a professional service corporation established pursuant to “The Professional Service Corporation Act," P.L.1969, c.232 (C.14A:17-1 et seq.), a corporation authorized pursuant to section 5 of P.L.1989, c.275 (C.45:3-18) or as prescribed in the "Building Design Services Act," P.L.1989, c.277 (C.45:4B-1 et seq.).</w:t>
      </w:r>
      <w:proofErr w:type="gramEnd"/>
      <w:r>
        <w:t xml:space="preserve">  </w:t>
      </w:r>
    </w:p>
    <w:p w:rsidR="009A5E9E" w:rsidRDefault="009A5E9E" w:rsidP="009A5E9E">
      <w:r>
        <w:tab/>
      </w:r>
      <w:proofErr w:type="gramStart"/>
      <w:r>
        <w:t>b.</w:t>
      </w:r>
      <w:r>
        <w:tab/>
        <w:t>Nothing in this section shall prohibit a licensed architect from rendering architectural services as an agent, director, member, officer, shareholder, associate, employee or partner of a person whose principal business is space planning services, interior design services or the substantial equivalent thereof; provided that the architect, at all times, exercises independent professional judgment in the rendering of architectural services, and adheres to the standards set forth in section 1 of P.L. 1989, c. 275 (C.45:3-1.1).</w:t>
      </w:r>
      <w:proofErr w:type="gramEnd"/>
      <w:r>
        <w:t xml:space="preserve"> </w:t>
      </w:r>
    </w:p>
    <w:p w:rsidR="009A5E9E" w:rsidRDefault="009A5E9E" w:rsidP="009A5E9E">
      <w:pPr>
        <w:rPr>
          <w:u w:val="single"/>
        </w:rPr>
      </w:pPr>
      <w:r>
        <w:tab/>
      </w:r>
      <w:r w:rsidRPr="008052A2">
        <w:rPr>
          <w:u w:val="single"/>
        </w:rPr>
        <w:t>c.</w:t>
      </w:r>
      <w:r w:rsidRPr="008052A2">
        <w:rPr>
          <w:u w:val="single"/>
        </w:rPr>
        <w:tab/>
        <w:t xml:space="preserve">An architect shall, prior to entering into an agreement for architectural services, disclose to </w:t>
      </w:r>
      <w:r>
        <w:rPr>
          <w:u w:val="single"/>
        </w:rPr>
        <w:t>any other</w:t>
      </w:r>
      <w:r w:rsidRPr="008052A2">
        <w:rPr>
          <w:u w:val="single"/>
        </w:rPr>
        <w:t xml:space="preserve"> party </w:t>
      </w:r>
      <w:r>
        <w:rPr>
          <w:u w:val="single"/>
        </w:rPr>
        <w:t xml:space="preserve">to the contract for architectural services </w:t>
      </w:r>
      <w:r w:rsidRPr="008052A2">
        <w:rPr>
          <w:u w:val="single"/>
        </w:rPr>
        <w:t xml:space="preserve">the type of </w:t>
      </w:r>
      <w:r>
        <w:rPr>
          <w:u w:val="single"/>
        </w:rPr>
        <w:t xml:space="preserve">professional liability </w:t>
      </w:r>
      <w:r w:rsidRPr="008052A2">
        <w:rPr>
          <w:u w:val="single"/>
        </w:rPr>
        <w:t>insurance under which the architect</w:t>
      </w:r>
      <w:r>
        <w:rPr>
          <w:u w:val="single"/>
        </w:rPr>
        <w:t xml:space="preserve"> is</w:t>
      </w:r>
      <w:r w:rsidRPr="008052A2">
        <w:rPr>
          <w:u w:val="single"/>
        </w:rPr>
        <w:t xml:space="preserve"> covered.</w:t>
      </w:r>
    </w:p>
    <w:p w:rsidR="009A5E9E" w:rsidRPr="008052A2" w:rsidRDefault="009A5E9E" w:rsidP="009A5E9E">
      <w:pPr>
        <w:rPr>
          <w:u w:val="single"/>
        </w:rPr>
      </w:pPr>
      <w:r w:rsidRPr="005A57A4">
        <w:tab/>
      </w:r>
      <w:r>
        <w:rPr>
          <w:u w:val="single"/>
        </w:rPr>
        <w:t>d.</w:t>
      </w:r>
      <w:r>
        <w:rPr>
          <w:u w:val="single"/>
        </w:rPr>
        <w:tab/>
        <w:t xml:space="preserve">Any architect entering into a public contract for architectural services according to the provisions of chapter 34 of Title 52 of the Revised Statutes, </w:t>
      </w:r>
      <w:r w:rsidRPr="00217155">
        <w:rPr>
          <w:u w:val="single"/>
        </w:rPr>
        <w:t>P.L.1971, c.198 (C.40A:11-1 et seq.)</w:t>
      </w:r>
      <w:r>
        <w:rPr>
          <w:u w:val="single"/>
        </w:rPr>
        <w:t xml:space="preserve">, </w:t>
      </w:r>
      <w:r w:rsidRPr="00217155">
        <w:rPr>
          <w:u w:val="single"/>
        </w:rPr>
        <w:t>N.J.S.18A:18A-1 et seq.</w:t>
      </w:r>
      <w:r>
        <w:rPr>
          <w:u w:val="single"/>
        </w:rPr>
        <w:t>, or P.L.1986, c.43 (C.18A:64-52 et seq.) shall carry errors and omissions insurance.</w:t>
      </w:r>
    </w:p>
    <w:p w:rsidR="009A5E9E" w:rsidRDefault="009A5E9E" w:rsidP="009A5E9E">
      <w:r>
        <w:t>(</w:t>
      </w:r>
      <w:proofErr w:type="spellStart"/>
      <w:r>
        <w:t>cf</w:t>
      </w:r>
      <w:proofErr w:type="spellEnd"/>
      <w:r>
        <w:t>: P.L.1997, c.403, s.2)</w:t>
      </w:r>
    </w:p>
    <w:p w:rsidR="009A5E9E" w:rsidRPr="00D71D68" w:rsidRDefault="009A5E9E" w:rsidP="009A5E9E"/>
    <w:p w:rsidR="009A5E9E" w:rsidRPr="00AA7880" w:rsidRDefault="009A5E9E" w:rsidP="009A5E9E">
      <w:r>
        <w:tab/>
        <w:t>2.</w:t>
      </w:r>
      <w:r>
        <w:tab/>
        <w:t>This act shall take effect immediately.</w:t>
      </w:r>
    </w:p>
    <w:p w:rsidR="009A5E9E" w:rsidRDefault="009A5E9E" w:rsidP="009A5E9E"/>
    <w:p w:rsidR="009A5E9E" w:rsidRPr="00CE7BD8" w:rsidRDefault="009A5E9E" w:rsidP="009A5E9E"/>
    <w:p w:rsidR="009A5E9E" w:rsidRPr="00AA7880" w:rsidRDefault="009A5E9E" w:rsidP="009A5E9E">
      <w:pPr>
        <w:jc w:val="center"/>
      </w:pPr>
      <w:r w:rsidRPr="00D71D68">
        <w:t>STATEMENT</w:t>
      </w:r>
    </w:p>
    <w:p w:rsidR="009A5E9E" w:rsidRDefault="009A5E9E" w:rsidP="009A5E9E"/>
    <w:p w:rsidR="009A5E9E" w:rsidRDefault="009A5E9E" w:rsidP="009A5E9E">
      <w:r>
        <w:tab/>
        <w:t xml:space="preserve">This bill provides that an architect shall disclose to any other party to a contract for architectural services the type of professional liability insurance carried by the architect.  The disclosure </w:t>
      </w:r>
      <w:proofErr w:type="gramStart"/>
      <w:r>
        <w:t xml:space="preserve">shall be </w:t>
      </w:r>
      <w:r>
        <w:lastRenderedPageBreak/>
        <w:t>made</w:t>
      </w:r>
      <w:proofErr w:type="gramEnd"/>
      <w:r>
        <w:t xml:space="preserve"> prior to the parties entering into an agreement for architectural services.</w:t>
      </w:r>
    </w:p>
    <w:p w:rsidR="009A5E9E" w:rsidRDefault="009A5E9E" w:rsidP="009A5E9E">
      <w:r>
        <w:tab/>
        <w:t xml:space="preserve">In addition, the bill requires that any architect entering into a public contract for architectural services </w:t>
      </w:r>
      <w:proofErr w:type="gramStart"/>
      <w:r>
        <w:t>is</w:t>
      </w:r>
      <w:proofErr w:type="gramEnd"/>
      <w:r>
        <w:t xml:space="preserve"> required to carry errors and omissions insurance.</w:t>
      </w:r>
    </w:p>
    <w:sectPr w:rsidR="009A5E9E" w:rsidSect="00517CA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F6B" w:rsidRDefault="00C20F6B">
      <w:r>
        <w:separator/>
      </w:r>
    </w:p>
  </w:endnote>
  <w:endnote w:type="continuationSeparator" w:id="0">
    <w:p w:rsidR="00C20F6B" w:rsidRDefault="00C2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3314E" w:rsidRPr="00921C91" w:rsidRDefault="00F3314E">
    <w:pPr>
      <w:pStyle w:val="Footer"/>
      <w:rPr>
        <w:szCs w:val="18"/>
      </w:rPr>
    </w:pPr>
  </w:p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F6B" w:rsidRDefault="00C20F6B">
      <w:r>
        <w:separator/>
      </w:r>
    </w:p>
  </w:footnote>
  <w:footnote w:type="continuationSeparator" w:id="0">
    <w:p w:rsidR="00C20F6B" w:rsidRDefault="00C2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A19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17CA2" w:rsidRDefault="00517CA2" w:rsidP="00517CA2">
    <w:pPr>
      <w:pStyle w:val="bpuHeadSpon"/>
    </w:pPr>
    <w:r w:rsidRPr="00517CA2">
      <w:rPr>
        <w:rStyle w:val="bpuHeadSponChar"/>
      </w:rPr>
      <w:t>A953</w:t>
    </w:r>
    <w:r>
      <w:t xml:space="preserve"> KARABINCHAK</w:t>
    </w:r>
  </w:p>
  <w:p w:rsidR="00517CA2" w:rsidRDefault="00517CA2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19E5">
      <w:rPr>
        <w:noProof/>
      </w:rPr>
      <w:t>3</w:t>
    </w:r>
    <w:r>
      <w:fldChar w:fldCharType="end"/>
    </w:r>
  </w:p>
  <w:p w:rsidR="00517CA2" w:rsidRPr="00AF575C" w:rsidRDefault="00517CA2" w:rsidP="00517CA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17CA2" w:rsidRDefault="00517CA2" w:rsidP="00517CA2">
    <w:pPr>
      <w:pStyle w:val="bpuHeadSpon"/>
    </w:pPr>
    <w:r w:rsidRPr="00517CA2">
      <w:rPr>
        <w:rStyle w:val="bpuHeadSponChar"/>
      </w:rPr>
      <w:t>A953</w:t>
    </w:r>
    <w:r>
      <w:t xml:space="preserve"> KARABINCHAK</w:t>
    </w:r>
  </w:p>
  <w:p w:rsidR="00517CA2" w:rsidRDefault="00517CA2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19E5">
      <w:rPr>
        <w:noProof/>
      </w:rPr>
      <w:t>2</w:t>
    </w:r>
    <w:r>
      <w:fldChar w:fldCharType="end"/>
    </w:r>
  </w:p>
  <w:p w:rsidR="00517CA2" w:rsidRDefault="00517CA2" w:rsidP="00517C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6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06C1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6D18"/>
    <w:rsid w:val="00501B0F"/>
    <w:rsid w:val="0050427A"/>
    <w:rsid w:val="00505402"/>
    <w:rsid w:val="0051355F"/>
    <w:rsid w:val="00515090"/>
    <w:rsid w:val="00517CA2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A5E9E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19E5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0F6B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5F8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0EE6"/>
    <w:rsid w:val="00EE77BF"/>
    <w:rsid w:val="00EF5225"/>
    <w:rsid w:val="00F0415D"/>
    <w:rsid w:val="00F14E45"/>
    <w:rsid w:val="00F17CFC"/>
    <w:rsid w:val="00F3314E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2A0C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9A3E5E2-27C0-4057-A01C-78AA479D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17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1F144-72EE-46BE-975B-E26989D2E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399</Words>
  <Characters>2341</Characters>
  <Application>Microsoft Office Word</Application>
  <DocSecurity>0</DocSecurity>
  <Lines>73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karabinchak/5706_I1</vt:lpstr>
    </vt:vector>
  </TitlesOfParts>
  <Manager>R229</Manager>
  <Company>OFFICE of LEGISLATIVE SERVICES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A953</dc:title>
  <dc:creator>Assemblyman  KARABINCHAK</dc:creator>
  <cp:keywords>A953|3|LG |317|0|0|!|0|</cp:keywords>
  <dc:description>PREFILED 2020</dc:description>
  <cp:lastModifiedBy>Bell, Careema</cp:lastModifiedBy>
  <cp:revision>2</cp:revision>
  <cp:lastPrinted>2005-07-29T18:13:00Z</cp:lastPrinted>
  <dcterms:created xsi:type="dcterms:W3CDTF">2019-12-27T17:10:00Z</dcterms:created>
  <dcterms:modified xsi:type="dcterms:W3CDTF">2019-12-27T17:10:00Z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