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6F8" w:rsidRDefault="001966F8" w:rsidP="001966F8">
      <w:pPr>
        <w:pStyle w:val="bpuReprint"/>
      </w:pPr>
      <w:bookmarkStart w:id="0" w:name="bpuFrontPg"/>
      <w:bookmarkEnd w:id="0"/>
      <w:r>
        <w:t>[First Reprint]</w:t>
      </w:r>
    </w:p>
    <w:p w:rsidR="00351872" w:rsidRDefault="00351872" w:rsidP="00351872">
      <w:pPr>
        <w:pStyle w:val="bpuBill"/>
      </w:pPr>
      <w:r>
        <w:t xml:space="preserve">ASSEMBLY, No. 1076 </w:t>
      </w:r>
    </w:p>
    <w:p w:rsidR="00351872" w:rsidRPr="00351872" w:rsidRDefault="00351872" w:rsidP="003518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363208" r:id="rId8"/>
        </w:object>
      </w:r>
    </w:p>
    <w:p w:rsidR="00351872" w:rsidRDefault="00351872" w:rsidP="00351872">
      <w:pPr>
        <w:pStyle w:val="bpuState"/>
      </w:pPr>
      <w:r>
        <w:t>STATE OF NEW JERSEY</w:t>
      </w:r>
    </w:p>
    <w:p w:rsidR="00351872" w:rsidRDefault="00351872" w:rsidP="00351872">
      <w:pPr>
        <w:pStyle w:val="bpuLegislature"/>
      </w:pPr>
      <w:r>
        <w:t>219th LEGISLATURE</w:t>
      </w:r>
    </w:p>
    <w:p w:rsidR="00351872" w:rsidRDefault="00351872" w:rsidP="00351872">
      <w:pPr>
        <w:pStyle w:val="bpuWpGraphic"/>
      </w:pPr>
      <w:r>
        <w:object w:dxaOrig="8985" w:dyaOrig="255">
          <v:shape id="_x0000_i1026" type="#_x0000_t75" style="width:6in;height:12pt" o:ole="">
            <v:imagedata r:id="rId7" o:title=""/>
          </v:shape>
          <o:OLEObject Type="Embed" ProgID="WPWin6.1" ShapeID="_x0000_i1026" DrawAspect="Content" ObjectID="_1662363209" r:id="rId9"/>
        </w:object>
      </w:r>
      <w:r>
        <w:t xml:space="preserve">  </w:t>
      </w:r>
    </w:p>
    <w:p w:rsidR="00351872" w:rsidRDefault="00351872" w:rsidP="00351872">
      <w:pPr>
        <w:pStyle w:val="bpuIntro"/>
      </w:pPr>
      <w:r>
        <w:t>PRE-FILED FOR INTRODUCTION IN THE 2020 SESSION</w:t>
      </w:r>
    </w:p>
    <w:p w:rsidR="00351872" w:rsidRDefault="00351872" w:rsidP="00351872">
      <w:pPr>
        <w:pStyle w:val="bpuIntro"/>
      </w:pPr>
    </w:p>
    <w:p w:rsidR="00351872" w:rsidRDefault="00351872" w:rsidP="00351872">
      <w:pPr>
        <w:pStyle w:val="bpuIntro"/>
        <w:sectPr w:rsidR="00351872" w:rsidSect="00D9550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51872" w:rsidRDefault="00351872" w:rsidP="00351872">
      <w:pPr>
        <w:pStyle w:val="bpuIntro"/>
      </w:pPr>
    </w:p>
    <w:p w:rsidR="00351872" w:rsidRDefault="00351872" w:rsidP="00351872">
      <w:pPr>
        <w:pStyle w:val="bpuSponsor"/>
      </w:pPr>
      <w:r>
        <w:t>Sponsored by:</w:t>
      </w:r>
    </w:p>
    <w:p w:rsidR="00351872" w:rsidRDefault="00351872" w:rsidP="00351872">
      <w:pPr>
        <w:pStyle w:val="bpuSponsor"/>
      </w:pPr>
      <w:r>
        <w:t>Assemblywoman  SHANIQUE SPEIGHT</w:t>
      </w:r>
    </w:p>
    <w:p w:rsidR="00351872" w:rsidRDefault="00351872" w:rsidP="00351872">
      <w:pPr>
        <w:pStyle w:val="bpuSponsor"/>
      </w:pPr>
      <w:r>
        <w:t>District 29 (Essex)</w:t>
      </w:r>
    </w:p>
    <w:p w:rsidR="00351872" w:rsidRDefault="00351872" w:rsidP="00351872">
      <w:pPr>
        <w:pStyle w:val="bpuSponsor"/>
      </w:pPr>
      <w:r>
        <w:t>Assemblywoman  ANGELA V. MCKNIGHT</w:t>
      </w:r>
    </w:p>
    <w:p w:rsidR="00351872" w:rsidRDefault="00351872" w:rsidP="00351872">
      <w:pPr>
        <w:pStyle w:val="bpuSponsor"/>
      </w:pPr>
      <w:r>
        <w:t>District 31 (Hudson)</w:t>
      </w:r>
    </w:p>
    <w:p w:rsidR="00351872" w:rsidRDefault="00351872" w:rsidP="00351872">
      <w:pPr>
        <w:pStyle w:val="bpuSponsor"/>
      </w:pPr>
      <w:r>
        <w:t>Assemblywoman  BRITNEE N. TIMBERLAKE</w:t>
      </w:r>
    </w:p>
    <w:p w:rsidR="00351872" w:rsidRDefault="00351872" w:rsidP="00351872">
      <w:pPr>
        <w:pStyle w:val="bpuSponsor"/>
      </w:pPr>
      <w:r>
        <w:t>District 34 (Essex and Passaic)</w:t>
      </w:r>
    </w:p>
    <w:p w:rsidR="00470978" w:rsidRDefault="00470978" w:rsidP="00470978">
      <w:pPr>
        <w:pStyle w:val="bpuSponsor"/>
      </w:pPr>
      <w:r>
        <w:t>Senator  THOMAS H. KEAN, JR.</w:t>
      </w:r>
    </w:p>
    <w:p w:rsidR="00470978" w:rsidRPr="00470978" w:rsidRDefault="00470978" w:rsidP="00470978">
      <w:pPr>
        <w:pStyle w:val="bpuSponsor"/>
      </w:pPr>
      <w:r>
        <w:t>District 21 (Morris, Somerset and Union)</w:t>
      </w:r>
    </w:p>
    <w:p w:rsidR="00351872" w:rsidRDefault="00470978" w:rsidP="00470978">
      <w:pPr>
        <w:pStyle w:val="bpuSponsor"/>
      </w:pPr>
      <w:r>
        <w:t>Senator  NIA H. GILL</w:t>
      </w:r>
    </w:p>
    <w:p w:rsidR="00470978" w:rsidRDefault="00470978" w:rsidP="00470978">
      <w:pPr>
        <w:pStyle w:val="bpuSponsor"/>
      </w:pPr>
      <w:r>
        <w:t>District 34 (Essex and Passaic)</w:t>
      </w:r>
    </w:p>
    <w:p w:rsidR="00470978" w:rsidRPr="00470978" w:rsidRDefault="00470978" w:rsidP="00470978">
      <w:pPr>
        <w:pStyle w:val="bpuSponsor"/>
      </w:pPr>
    </w:p>
    <w:p w:rsidR="0015421A" w:rsidRDefault="00976776" w:rsidP="00976776">
      <w:pPr>
        <w:pStyle w:val="bpuSponsor"/>
      </w:pPr>
      <w:r>
        <w:t>Co-Sponsored by:</w:t>
      </w:r>
    </w:p>
    <w:p w:rsidR="00976776" w:rsidRPr="00976776" w:rsidRDefault="00976776" w:rsidP="00976776">
      <w:pPr>
        <w:pStyle w:val="bpuSponsor"/>
      </w:pPr>
      <w:r w:rsidRPr="00976776">
        <w:t xml:space="preserve">Assemblymen Holley, Spearman, Assemblywomen Tucker, </w:t>
      </w:r>
      <w:proofErr w:type="spellStart"/>
      <w:r w:rsidRPr="00976776">
        <w:t>Quijano</w:t>
      </w:r>
      <w:proofErr w:type="spellEnd"/>
      <w:r w:rsidRPr="00976776">
        <w:t xml:space="preserve">, Assemblymen </w:t>
      </w:r>
      <w:proofErr w:type="spellStart"/>
      <w:r w:rsidRPr="00976776">
        <w:t>Wimberly</w:t>
      </w:r>
      <w:proofErr w:type="spellEnd"/>
      <w:r w:rsidRPr="00976776">
        <w:t xml:space="preserve">, Johnson, Senators Ruiz, Turner, Assemblywomen </w:t>
      </w:r>
      <w:proofErr w:type="spellStart"/>
      <w:r w:rsidRPr="00976776">
        <w:t>Jasey</w:t>
      </w:r>
      <w:proofErr w:type="spellEnd"/>
      <w:r w:rsidRPr="00976776">
        <w:t xml:space="preserve"> and Reynolds-Jackson</w:t>
      </w:r>
    </w:p>
    <w:p w:rsidR="00D95506" w:rsidRDefault="00D95506" w:rsidP="0015421A"/>
    <w:p w:rsidR="00976776" w:rsidRPr="0015421A" w:rsidRDefault="00976776" w:rsidP="0015421A">
      <w:bookmarkStart w:id="1" w:name="_GoBack"/>
      <w:bookmarkEnd w:id="1"/>
    </w:p>
    <w:p w:rsidR="00351872" w:rsidRDefault="00351872" w:rsidP="00351872">
      <w:pPr>
        <w:pStyle w:val="bpuSponsor"/>
      </w:pPr>
    </w:p>
    <w:p w:rsidR="00351872" w:rsidRDefault="00351872" w:rsidP="00351872">
      <w:pPr>
        <w:pStyle w:val="bpuSponsor"/>
      </w:pPr>
    </w:p>
    <w:p w:rsidR="00351872" w:rsidRDefault="00351872" w:rsidP="00351872">
      <w:pPr>
        <w:pStyle w:val="bpuSponsor"/>
      </w:pPr>
      <w:r>
        <w:t>SYNOPSIS</w:t>
      </w:r>
    </w:p>
    <w:p w:rsidR="00351872" w:rsidRDefault="00351872" w:rsidP="00351872">
      <w:pPr>
        <w:pStyle w:val="bpuNormText"/>
      </w:pPr>
      <w:r>
        <w:tab/>
        <w:t xml:space="preserve">Requires AG to collect, record, analyze, and report certain prosecutorial and criminal justice data. </w:t>
      </w:r>
    </w:p>
    <w:p w:rsidR="00351872" w:rsidRDefault="00351872" w:rsidP="00351872">
      <w:pPr>
        <w:pStyle w:val="bpuNormText"/>
      </w:pPr>
    </w:p>
    <w:p w:rsidR="00351872" w:rsidRDefault="00351872" w:rsidP="00351872">
      <w:pPr>
        <w:pStyle w:val="bpuSponsor"/>
      </w:pPr>
      <w:r>
        <w:t xml:space="preserve">CURRENT VERSION OF TEXT </w:t>
      </w:r>
    </w:p>
    <w:p w:rsidR="00351872" w:rsidRDefault="001966F8" w:rsidP="00351872">
      <w:pPr>
        <w:pStyle w:val="bpuNormText"/>
      </w:pPr>
      <w:r>
        <w:tab/>
        <w:t>As amended by the Senate on July 30, 2020.</w:t>
      </w:r>
    </w:p>
    <w:p w:rsidR="00351872" w:rsidRDefault="00351872" w:rsidP="0035187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51872" w:rsidRDefault="0035187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51872" w:rsidSect="00351872">
          <w:type w:val="continuous"/>
          <w:pgSz w:w="12240" w:h="20160" w:code="5"/>
          <w:pgMar w:top="2160" w:right="2275" w:bottom="1440" w:left="2275" w:header="72" w:footer="720" w:gutter="0"/>
          <w:pgNumType w:start="1"/>
          <w:cols w:space="720"/>
          <w:docGrid w:linePitch="360"/>
        </w:sectPr>
      </w:pPr>
    </w:p>
    <w:p w:rsidR="00A627EC" w:rsidRPr="009D7CCF" w:rsidRDefault="00A627EC" w:rsidP="00A627EC">
      <w:pPr>
        <w:pStyle w:val="HangingAnAct"/>
      </w:pPr>
      <w:r w:rsidRPr="00A627EC">
        <w:rPr>
          <w:rStyle w:val="BillHead"/>
        </w:rPr>
        <w:lastRenderedPageBreak/>
        <w:t>An Act</w:t>
      </w:r>
      <w:r w:rsidRPr="006B7FA7">
        <w:rPr>
          <w:rStyle w:val="HangingAnActChar"/>
        </w:rPr>
        <w:t xml:space="preserve"> </w:t>
      </w:r>
      <w:r>
        <w:rPr>
          <w:rStyle w:val="HangingAnActChar"/>
        </w:rPr>
        <w:t xml:space="preserve">concerning the collection </w:t>
      </w:r>
      <w:r>
        <w:t>and reporting of certain prosecutorial and criminal justice data and supplementing Title 52 of the Revised Statutes.</w:t>
      </w:r>
    </w:p>
    <w:p w:rsidR="00A627EC" w:rsidRPr="00D92627" w:rsidRDefault="00A627EC" w:rsidP="00A627EC"/>
    <w:p w:rsidR="00A627EC" w:rsidRPr="00AA7880" w:rsidRDefault="00A627EC" w:rsidP="00A627EC">
      <w:r>
        <w:tab/>
      </w:r>
      <w:r>
        <w:rPr>
          <w:rStyle w:val="BillHeading2"/>
        </w:rPr>
        <w:t xml:space="preserve">Be It Enacted </w:t>
      </w:r>
      <w:r>
        <w:rPr>
          <w:rStyle w:val="BillLanguage"/>
        </w:rPr>
        <w:t>by the Senate and General Assembly of the State of New Jersey:</w:t>
      </w:r>
    </w:p>
    <w:p w:rsidR="00A627EC" w:rsidRDefault="00A627EC" w:rsidP="00A627EC"/>
    <w:p w:rsidR="001966F8" w:rsidRPr="001966F8" w:rsidRDefault="001966F8" w:rsidP="001966F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highlight w:val="yellow"/>
          <w:u w:val="single"/>
        </w:rPr>
      </w:pPr>
      <w:r w:rsidRPr="001966F8">
        <w:rPr>
          <w:spacing w:val="0"/>
        </w:rPr>
        <w:tab/>
        <w:t>1.</w:t>
      </w:r>
      <w:r w:rsidRPr="001966F8">
        <w:rPr>
          <w:spacing w:val="0"/>
        </w:rPr>
        <w:tab/>
        <w:t xml:space="preserve">a.  The Attorney General, in consultation with the Division of State Police, county prosecutors offices, Administrative Office of the Courts, and Department of Corrections, shall establish a program to collect, record, and analyze data regarding defendants in this State who are age 18 or older at the time of the commission of an alleged </w:t>
      </w:r>
      <w:r w:rsidRPr="001966F8">
        <w:rPr>
          <w:rFonts w:ascii="Albertus Extra Bold" w:hAnsi="Albertus Extra Bold"/>
          <w:b/>
          <w:vertAlign w:val="superscript"/>
        </w:rPr>
        <w:t>1</w:t>
      </w:r>
      <w:r w:rsidRPr="001966F8">
        <w:rPr>
          <w:spacing w:val="0"/>
          <w:u w:val="single"/>
        </w:rPr>
        <w:t>indictable offense or disorderly persons</w:t>
      </w:r>
      <w:r w:rsidRPr="001966F8">
        <w:rPr>
          <w:rFonts w:ascii="Albertus Extra Bold" w:hAnsi="Albertus Extra Bold"/>
          <w:b/>
          <w:vertAlign w:val="superscript"/>
        </w:rPr>
        <w:t>1</w:t>
      </w:r>
      <w:r w:rsidRPr="001966F8">
        <w:rPr>
          <w:spacing w:val="0"/>
        </w:rPr>
        <w:t xml:space="preserve"> offense.  In furtherance of this program, the Attorney General shall </w:t>
      </w:r>
      <w:r w:rsidRPr="001966F8">
        <w:rPr>
          <w:rFonts w:ascii="Albertus Extra Bold" w:hAnsi="Albertus Extra Bold"/>
          <w:b/>
          <w:vertAlign w:val="superscript"/>
        </w:rPr>
        <w:t>1</w:t>
      </w:r>
      <w:r w:rsidRPr="001966F8">
        <w:rPr>
          <w:rFonts w:ascii="Albertus Extra Bold" w:hAnsi="Albertus Extra Bold"/>
          <w:b/>
        </w:rPr>
        <w:t>[</w:t>
      </w:r>
      <w:r w:rsidRPr="001966F8">
        <w:rPr>
          <w:spacing w:val="0"/>
        </w:rPr>
        <w:t>collect</w:t>
      </w:r>
      <w:r w:rsidRPr="001966F8">
        <w:rPr>
          <w:rFonts w:ascii="Albertus Extra Bold" w:hAnsi="Albertus Extra Bold"/>
          <w:b/>
        </w:rPr>
        <w:t>]</w:t>
      </w:r>
      <w:r w:rsidRPr="001966F8">
        <w:rPr>
          <w:spacing w:val="0"/>
        </w:rPr>
        <w:t xml:space="preserve"> </w:t>
      </w:r>
      <w:r w:rsidRPr="001966F8">
        <w:rPr>
          <w:spacing w:val="0"/>
          <w:u w:val="single"/>
        </w:rPr>
        <w:t>compile</w:t>
      </w:r>
      <w:r w:rsidRPr="001966F8">
        <w:rPr>
          <w:rFonts w:ascii="Albertus Extra Bold" w:hAnsi="Albertus Extra Bold"/>
          <w:b/>
          <w:vertAlign w:val="superscript"/>
        </w:rPr>
        <w:t>1</w:t>
      </w:r>
      <w:r w:rsidRPr="001966F8">
        <w:rPr>
          <w:spacing w:val="0"/>
        </w:rPr>
        <w:t xml:space="preserve"> data </w:t>
      </w:r>
      <w:r w:rsidRPr="001966F8">
        <w:rPr>
          <w:rFonts w:ascii="Albertus Extra Bold" w:hAnsi="Albertus Extra Bold"/>
          <w:b/>
          <w:vertAlign w:val="superscript"/>
        </w:rPr>
        <w:t>1</w:t>
      </w:r>
      <w:r w:rsidRPr="001966F8">
        <w:rPr>
          <w:spacing w:val="0"/>
          <w:u w:val="single"/>
        </w:rPr>
        <w:t>collected</w:t>
      </w:r>
      <w:r w:rsidRPr="001966F8">
        <w:rPr>
          <w:rFonts w:ascii="Albertus Extra Bold" w:hAnsi="Albertus Extra Bold"/>
          <w:b/>
          <w:vertAlign w:val="superscript"/>
        </w:rPr>
        <w:t>1</w:t>
      </w:r>
      <w:r w:rsidRPr="001966F8">
        <w:rPr>
          <w:spacing w:val="0"/>
        </w:rPr>
        <w:t xml:space="preserve"> from the time a defendant enters the State’s criminal justice system, by arrest, charge, or other action, through the final disposition of the defendant’s case.  The data shall include information concerning the race, ethnicity, gender, and age of the defendant and </w:t>
      </w:r>
      <w:r w:rsidRPr="001966F8">
        <w:rPr>
          <w:rFonts w:ascii="Albertus Extra Bold" w:hAnsi="Albertus Extra Bold"/>
          <w:b/>
          <w:vertAlign w:val="superscript"/>
        </w:rPr>
        <w:t>1</w:t>
      </w:r>
      <w:r w:rsidRPr="001966F8">
        <w:rPr>
          <w:spacing w:val="0"/>
          <w:u w:val="single"/>
        </w:rPr>
        <w:t>be compiled in accordance with the standards of the classification of federal data on race and ethnicity established by the federal Office of Management and Budget.  The data</w:t>
      </w:r>
      <w:r w:rsidRPr="001966F8">
        <w:rPr>
          <w:rFonts w:ascii="Albertus Extra Bold" w:hAnsi="Albertus Extra Bold"/>
          <w:b/>
          <w:vertAlign w:val="superscript"/>
        </w:rPr>
        <w:t>1</w:t>
      </w:r>
      <w:r w:rsidRPr="001966F8">
        <w:rPr>
          <w:spacing w:val="0"/>
        </w:rPr>
        <w:t xml:space="preserve"> shall include, but not be limited to, data concerning:  </w:t>
      </w:r>
    </w:p>
    <w:p w:rsidR="001966F8" w:rsidRPr="001966F8"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966F8">
        <w:rPr>
          <w:spacing w:val="0"/>
        </w:rPr>
        <w:tab/>
        <w:t>(1)</w:t>
      </w:r>
      <w:r w:rsidRPr="001966F8">
        <w:rPr>
          <w:spacing w:val="0"/>
        </w:rPr>
        <w:tab/>
        <w:t xml:space="preserve">warrants, arrests, charges, filing of criminal complaints, and indictments; </w:t>
      </w:r>
    </w:p>
    <w:p w:rsidR="001966F8" w:rsidRPr="001966F8"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966F8">
        <w:rPr>
          <w:spacing w:val="0"/>
        </w:rPr>
        <w:tab/>
        <w:t>(2)</w:t>
      </w:r>
      <w:r w:rsidRPr="001966F8">
        <w:rPr>
          <w:spacing w:val="0"/>
        </w:rPr>
        <w:tab/>
        <w:t>dismissed or downgraded charges;</w:t>
      </w:r>
    </w:p>
    <w:p w:rsidR="001966F8" w:rsidRPr="001966F8"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966F8">
        <w:rPr>
          <w:spacing w:val="0"/>
        </w:rPr>
        <w:tab/>
        <w:t>(3)</w:t>
      </w:r>
      <w:r w:rsidRPr="001966F8">
        <w:rPr>
          <w:spacing w:val="0"/>
        </w:rPr>
        <w:tab/>
        <w:t>cases which proceed to trial, and the disposition of cases, including convictions and guilty pleas;</w:t>
      </w:r>
    </w:p>
    <w:p w:rsidR="001966F8" w:rsidRPr="001966F8"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966F8">
        <w:rPr>
          <w:spacing w:val="0"/>
        </w:rPr>
        <w:tab/>
        <w:t>(4)</w:t>
      </w:r>
      <w:r w:rsidRPr="001966F8">
        <w:rPr>
          <w:spacing w:val="0"/>
        </w:rPr>
        <w:tab/>
        <w:t xml:space="preserve">admission to diversionary programs, including data on program applications, and any prosecutorial </w:t>
      </w:r>
      <w:r w:rsidRPr="001966F8">
        <w:rPr>
          <w:rFonts w:ascii="Albertus Extra Bold" w:hAnsi="Albertus Extra Bold"/>
          <w:b/>
          <w:vertAlign w:val="superscript"/>
        </w:rPr>
        <w:t>1</w:t>
      </w:r>
      <w:r w:rsidRPr="001966F8">
        <w:rPr>
          <w:spacing w:val="0"/>
          <w:u w:val="single"/>
        </w:rPr>
        <w:t>or court</w:t>
      </w:r>
      <w:r w:rsidRPr="001966F8">
        <w:rPr>
          <w:rFonts w:ascii="Albertus Extra Bold" w:hAnsi="Albertus Extra Bold"/>
          <w:b/>
          <w:vertAlign w:val="superscript"/>
        </w:rPr>
        <w:t>1</w:t>
      </w:r>
      <w:r w:rsidRPr="001966F8">
        <w:rPr>
          <w:spacing w:val="0"/>
        </w:rPr>
        <w:t xml:space="preserve"> consent or denial for a defendant’s entry into diversionary programs; </w:t>
      </w:r>
    </w:p>
    <w:p w:rsidR="001966F8" w:rsidRPr="001966F8"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966F8">
        <w:rPr>
          <w:spacing w:val="0"/>
        </w:rPr>
        <w:tab/>
        <w:t>(5)</w:t>
      </w:r>
      <w:r w:rsidRPr="001966F8">
        <w:rPr>
          <w:spacing w:val="0"/>
        </w:rPr>
        <w:tab/>
      </w:r>
      <w:r w:rsidRPr="001966F8">
        <w:rPr>
          <w:rFonts w:ascii="Albertus Extra Bold" w:hAnsi="Albertus Extra Bold"/>
          <w:b/>
          <w:vertAlign w:val="superscript"/>
        </w:rPr>
        <w:t>1</w:t>
      </w:r>
      <w:r w:rsidRPr="001966F8">
        <w:rPr>
          <w:rFonts w:ascii="Albertus Extra Bold" w:hAnsi="Albertus Extra Bold"/>
          <w:b/>
        </w:rPr>
        <w:t>[</w:t>
      </w:r>
      <w:r w:rsidRPr="001966F8">
        <w:rPr>
          <w:spacing w:val="0"/>
        </w:rPr>
        <w:t>contact between a prosecutorial authority and a victim, including data concerning</w:t>
      </w:r>
      <w:r w:rsidRPr="001966F8">
        <w:rPr>
          <w:rFonts w:ascii="Albertus Extra Bold" w:hAnsi="Albertus Extra Bold"/>
          <w:b/>
        </w:rPr>
        <w:t>]</w:t>
      </w:r>
      <w:r w:rsidRPr="001966F8">
        <w:rPr>
          <w:rFonts w:ascii="Albertus Extra Bold" w:hAnsi="Albertus Extra Bold"/>
          <w:b/>
          <w:vertAlign w:val="superscript"/>
        </w:rPr>
        <w:t>1</w:t>
      </w:r>
      <w:r w:rsidRPr="001966F8">
        <w:rPr>
          <w:spacing w:val="0"/>
        </w:rPr>
        <w:t xml:space="preserve"> cases involving victims</w:t>
      </w:r>
      <w:r w:rsidRPr="001966F8">
        <w:rPr>
          <w:rFonts w:ascii="Albertus Extra Bold" w:hAnsi="Albertus Extra Bold"/>
          <w:b/>
          <w:vertAlign w:val="superscript"/>
        </w:rPr>
        <w:t>1</w:t>
      </w:r>
      <w:r w:rsidRPr="001966F8">
        <w:rPr>
          <w:color w:val="000000"/>
          <w:u w:val="single"/>
        </w:rPr>
        <w:t>, including the race, ethnicity, gender, and age of the defendant and victims in those cases</w:t>
      </w:r>
      <w:r w:rsidRPr="001966F8">
        <w:rPr>
          <w:rFonts w:ascii="Albertus Extra Bold" w:hAnsi="Albertus Extra Bold"/>
          <w:b/>
          <w:color w:val="000000"/>
          <w:vertAlign w:val="superscript"/>
        </w:rPr>
        <w:t>1</w:t>
      </w:r>
      <w:r w:rsidRPr="001966F8">
        <w:rPr>
          <w:spacing w:val="0"/>
        </w:rPr>
        <w:t xml:space="preserve">; </w:t>
      </w:r>
    </w:p>
    <w:p w:rsidR="001966F8" w:rsidRPr="001966F8"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966F8">
        <w:rPr>
          <w:spacing w:val="0"/>
        </w:rPr>
        <w:tab/>
        <w:t>(6)</w:t>
      </w:r>
      <w:r w:rsidRPr="001966F8">
        <w:rPr>
          <w:spacing w:val="0"/>
        </w:rPr>
        <w:tab/>
        <w:t>plea agreement negotiations, including data concerning plea offers extended and accepted or rejected by the defendant,</w:t>
      </w:r>
      <w:r w:rsidRPr="001966F8">
        <w:rPr>
          <w:rFonts w:ascii="Albertus Extra Bold" w:hAnsi="Albertus Extra Bold"/>
          <w:b/>
        </w:rPr>
        <w:t xml:space="preserve"> </w:t>
      </w:r>
      <w:r w:rsidRPr="001966F8">
        <w:rPr>
          <w:spacing w:val="0"/>
        </w:rPr>
        <w:t>plea agreements entered or rejected by the court, and whether the plea agreements involved probation or incarceration;</w:t>
      </w:r>
    </w:p>
    <w:p w:rsidR="001966F8" w:rsidRPr="001966F8"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966F8">
        <w:rPr>
          <w:spacing w:val="0"/>
        </w:rPr>
        <w:tab/>
        <w:t>(7)</w:t>
      </w:r>
      <w:r w:rsidRPr="001966F8">
        <w:rPr>
          <w:spacing w:val="0"/>
        </w:rPr>
        <w:tab/>
        <w:t xml:space="preserve">court fees and fines; and </w:t>
      </w:r>
    </w:p>
    <w:p w:rsidR="001966F8" w:rsidRPr="001966F8"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966F8">
        <w:rPr>
          <w:spacing w:val="0"/>
        </w:rPr>
        <w:tab/>
        <w:t>(8)</w:t>
      </w:r>
      <w:r w:rsidRPr="001966F8">
        <w:rPr>
          <w:spacing w:val="0"/>
        </w:rPr>
        <w:tab/>
        <w:t>restitution amounts ordered, including any amount collected by the court and paid to a victim.</w:t>
      </w:r>
    </w:p>
    <w:p w:rsidR="008913B3" w:rsidRDefault="001966F8" w:rsidP="008913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pPr>
      <w:r w:rsidRPr="001966F8">
        <w:rPr>
          <w:color w:val="000000"/>
        </w:rPr>
        <w:t xml:space="preserve">     </w:t>
      </w:r>
      <w:r w:rsidRPr="001966F8">
        <w:rPr>
          <w:rFonts w:ascii="Albertus Extra Bold" w:hAnsi="Albertus Extra Bold"/>
          <w:b/>
          <w:color w:val="000000"/>
          <w:vertAlign w:val="superscript"/>
        </w:rPr>
        <w:t>1</w:t>
      </w:r>
      <w:r w:rsidRPr="001966F8">
        <w:rPr>
          <w:color w:val="000000"/>
          <w:u w:val="single"/>
        </w:rPr>
        <w:t xml:space="preserve">b.  The Division of State Police, county prosecutor’s offices, Administrative Office of the Courts, Department of Corrections, Office of the Public Defender, and county and municipal police departments shall cooperate with the Attorney General in the </w:t>
      </w:r>
      <w:r w:rsidR="008913B3">
        <w:br w:type="page"/>
      </w:r>
    </w:p>
    <w:p w:rsidR="001966F8" w:rsidRPr="001966F8"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u w:val="single"/>
        </w:rPr>
      </w:pPr>
      <w:r w:rsidRPr="001966F8">
        <w:rPr>
          <w:color w:val="000000"/>
          <w:u w:val="single"/>
        </w:rPr>
        <w:lastRenderedPageBreak/>
        <w:t xml:space="preserve">implementation of this program, and shall assist in the collection, recording, compilation and provision of data in furtherance of the program to the extent and in the manner required by the Attorney General. </w:t>
      </w:r>
    </w:p>
    <w:p w:rsidR="001966F8" w:rsidRPr="001966F8"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966F8">
        <w:rPr>
          <w:spacing w:val="0"/>
        </w:rPr>
        <w:tab/>
      </w:r>
      <w:r w:rsidRPr="001966F8">
        <w:rPr>
          <w:spacing w:val="0"/>
          <w:u w:val="single"/>
        </w:rPr>
        <w:t>c.</w:t>
      </w:r>
      <w:r w:rsidRPr="001966F8">
        <w:rPr>
          <w:rFonts w:ascii="Albertus Extra Bold" w:hAnsi="Albertus Extra Bold"/>
          <w:b/>
          <w:vertAlign w:val="superscript"/>
        </w:rPr>
        <w:t>1</w:t>
      </w:r>
      <w:r w:rsidRPr="001966F8">
        <w:rPr>
          <w:spacing w:val="0"/>
        </w:rPr>
        <w:t xml:space="preserve"> Nothing in this section shall be construed to authorize the disclosure of any confidential or personal identifying information.  For the purposes of this section, “personal identifying information” shall include, but not be limited to, name and any aliases, address, social security number, telephone number, fax number, driver's license number, email address, or social media address of any defendant or victim.</w:t>
      </w:r>
    </w:p>
    <w:p w:rsidR="001966F8" w:rsidRPr="001966F8"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966F8">
        <w:rPr>
          <w:spacing w:val="0"/>
        </w:rPr>
        <w:tab/>
      </w:r>
      <w:r w:rsidRPr="001966F8">
        <w:rPr>
          <w:rFonts w:ascii="Albertus Extra Bold" w:hAnsi="Albertus Extra Bold"/>
          <w:b/>
          <w:vertAlign w:val="superscript"/>
        </w:rPr>
        <w:t>1</w:t>
      </w:r>
      <w:r w:rsidRPr="001966F8">
        <w:rPr>
          <w:rFonts w:ascii="Albertus Extra Bold" w:hAnsi="Albertus Extra Bold"/>
          <w:b/>
        </w:rPr>
        <w:t>[</w:t>
      </w:r>
      <w:r w:rsidRPr="001966F8">
        <w:rPr>
          <w:spacing w:val="0"/>
        </w:rPr>
        <w:t>b.</w:t>
      </w:r>
      <w:r w:rsidRPr="001966F8">
        <w:rPr>
          <w:rFonts w:ascii="Albertus Extra Bold" w:hAnsi="Albertus Extra Bold"/>
          <w:b/>
        </w:rPr>
        <w:t xml:space="preserve">] </w:t>
      </w:r>
      <w:r w:rsidRPr="001966F8">
        <w:rPr>
          <w:spacing w:val="0"/>
          <w:u w:val="single"/>
        </w:rPr>
        <w:t>d.</w:t>
      </w:r>
      <w:r w:rsidRPr="001966F8">
        <w:rPr>
          <w:rFonts w:ascii="Albertus Extra Bold" w:hAnsi="Albertus Extra Bold"/>
          <w:b/>
          <w:vertAlign w:val="superscript"/>
        </w:rPr>
        <w:t>1</w:t>
      </w:r>
      <w:r w:rsidRPr="001966F8">
        <w:rPr>
          <w:spacing w:val="0"/>
        </w:rPr>
        <w:t xml:space="preserve">  The Attorney General shall prepare and publish on its Internet website annual reports summarizing the data collected, recorded, and analyzed pursuant to this section.  </w:t>
      </w:r>
    </w:p>
    <w:p w:rsidR="001966F8" w:rsidRPr="001966F8" w:rsidRDefault="001966F8" w:rsidP="001966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966F8">
        <w:rPr>
          <w:spacing w:val="0"/>
        </w:rPr>
        <w:tab/>
      </w:r>
      <w:r w:rsidRPr="001966F8">
        <w:rPr>
          <w:rFonts w:ascii="Albertus Extra Bold" w:hAnsi="Albertus Extra Bold"/>
          <w:b/>
          <w:vertAlign w:val="superscript"/>
        </w:rPr>
        <w:t>1</w:t>
      </w:r>
      <w:r w:rsidRPr="001966F8">
        <w:rPr>
          <w:rFonts w:ascii="Albertus Extra Bold" w:hAnsi="Albertus Extra Bold"/>
          <w:b/>
        </w:rPr>
        <w:t>[</w:t>
      </w:r>
      <w:r w:rsidRPr="001966F8">
        <w:rPr>
          <w:spacing w:val="0"/>
        </w:rPr>
        <w:t>c.</w:t>
      </w:r>
      <w:r w:rsidRPr="001966F8">
        <w:rPr>
          <w:rFonts w:ascii="Albertus Extra Bold" w:hAnsi="Albertus Extra Bold"/>
          <w:b/>
        </w:rPr>
        <w:t>]</w:t>
      </w:r>
      <w:r w:rsidRPr="001966F8">
        <w:rPr>
          <w:spacing w:val="0"/>
        </w:rPr>
        <w:t xml:space="preserve"> </w:t>
      </w:r>
      <w:r w:rsidRPr="001966F8">
        <w:rPr>
          <w:spacing w:val="0"/>
          <w:u w:val="single"/>
        </w:rPr>
        <w:t>e.</w:t>
      </w:r>
      <w:r w:rsidRPr="001966F8">
        <w:rPr>
          <w:rFonts w:ascii="Albertus Extra Bold" w:hAnsi="Albertus Extra Bold"/>
          <w:b/>
          <w:vertAlign w:val="superscript"/>
        </w:rPr>
        <w:t>1</w:t>
      </w:r>
      <w:r w:rsidRPr="001966F8">
        <w:rPr>
          <w:spacing w:val="0"/>
        </w:rPr>
        <w:t xml:space="preserve"> The Attorney General shall, pursuant to section 2 of P.L. 1991, c.164 (C.52:14-19.1), annually prepare and transmit to the Governor and the Legislature the reports required in this section.</w:t>
      </w:r>
    </w:p>
    <w:p w:rsidR="00A627EC" w:rsidRDefault="001966F8" w:rsidP="001966F8">
      <w:pPr>
        <w:rPr>
          <w:rFonts w:ascii="Albertus Extra Bold" w:hAnsi="Albertus Extra Bold"/>
          <w:b/>
          <w:color w:val="000000"/>
          <w:vertAlign w:val="superscript"/>
        </w:rPr>
      </w:pPr>
      <w:r w:rsidRPr="001966F8">
        <w:rPr>
          <w:spacing w:val="0"/>
        </w:rPr>
        <w:tab/>
      </w:r>
      <w:r w:rsidRPr="001966F8">
        <w:rPr>
          <w:rFonts w:ascii="Albertus Extra Bold" w:hAnsi="Albertus Extra Bold"/>
          <w:b/>
          <w:vertAlign w:val="superscript"/>
        </w:rPr>
        <w:t>1</w:t>
      </w:r>
      <w:r w:rsidRPr="001966F8">
        <w:rPr>
          <w:spacing w:val="0"/>
          <w:u w:val="single"/>
        </w:rPr>
        <w:t xml:space="preserve">f.  </w:t>
      </w:r>
      <w:r w:rsidRPr="001966F8">
        <w:rPr>
          <w:color w:val="000000"/>
          <w:u w:val="single"/>
        </w:rPr>
        <w:t>The Attorney General may utilize the services of any public or private entity or entities for the performance of activities in furtherance of the program established under this section, and may enter into agreements for those purposes as the Attorney General deems advisable.</w:t>
      </w:r>
      <w:r w:rsidRPr="001966F8">
        <w:rPr>
          <w:rFonts w:ascii="Albertus Extra Bold" w:hAnsi="Albertus Extra Bold"/>
          <w:b/>
          <w:color w:val="000000"/>
          <w:vertAlign w:val="superscript"/>
        </w:rPr>
        <w:t>1</w:t>
      </w:r>
    </w:p>
    <w:p w:rsidR="001966F8" w:rsidRDefault="001966F8" w:rsidP="001966F8"/>
    <w:p w:rsidR="00A627EC" w:rsidRPr="00AA7880" w:rsidRDefault="001966F8" w:rsidP="001966F8">
      <w:r>
        <w:rPr>
          <w:color w:val="000000"/>
        </w:rPr>
        <w:tab/>
      </w:r>
      <w:r>
        <w:t>2.</w:t>
      </w:r>
      <w:r>
        <w:tab/>
        <w:t xml:space="preserve">This act shall take effect on the first day of the </w:t>
      </w:r>
      <w:r>
        <w:rPr>
          <w:rFonts w:ascii="Albertus Extra Bold" w:hAnsi="Albertus Extra Bold"/>
          <w:b/>
          <w:vertAlign w:val="superscript"/>
        </w:rPr>
        <w:t>1</w:t>
      </w:r>
      <w:r w:rsidRPr="00907FEA">
        <w:rPr>
          <w:rFonts w:ascii="Albertus Extra Bold" w:hAnsi="Albertus Extra Bold"/>
          <w:b/>
        </w:rPr>
        <w:t>[</w:t>
      </w:r>
      <w:r>
        <w:t>seventh</w:t>
      </w:r>
      <w:r w:rsidRPr="00907FEA">
        <w:rPr>
          <w:rFonts w:ascii="Albertus Extra Bold" w:hAnsi="Albertus Extra Bold"/>
          <w:b/>
        </w:rPr>
        <w:t>]</w:t>
      </w:r>
      <w:r>
        <w:t xml:space="preserve"> </w:t>
      </w:r>
      <w:r w:rsidRPr="00907FEA">
        <w:rPr>
          <w:u w:val="single"/>
        </w:rPr>
        <w:t>thirteenth</w:t>
      </w:r>
      <w:r>
        <w:rPr>
          <w:rFonts w:ascii="Albertus Extra Bold" w:hAnsi="Albertus Extra Bold"/>
          <w:b/>
          <w:vertAlign w:val="superscript"/>
        </w:rPr>
        <w:t>1</w:t>
      </w:r>
      <w:r>
        <w:t xml:space="preserve"> month next following the date of enactment </w:t>
      </w:r>
      <w:r>
        <w:rPr>
          <w:rFonts w:ascii="Albertus Extra Bold" w:hAnsi="Albertus Extra Bold"/>
          <w:b/>
          <w:vertAlign w:val="superscript"/>
        </w:rPr>
        <w:t>1</w:t>
      </w:r>
      <w:r w:rsidRPr="00907FEA">
        <w:rPr>
          <w:u w:val="single"/>
        </w:rPr>
        <w:t>, except the</w:t>
      </w:r>
      <w:r>
        <w:t xml:space="preserve"> </w:t>
      </w:r>
      <w:r w:rsidRPr="00907FEA">
        <w:rPr>
          <w:u w:val="single"/>
        </w:rPr>
        <w:t>Office of the Attorney General,</w:t>
      </w:r>
      <w:r>
        <w:rPr>
          <w:u w:val="single"/>
        </w:rPr>
        <w:t xml:space="preserve"> </w:t>
      </w:r>
      <w:r w:rsidRPr="009C6CB4">
        <w:rPr>
          <w:color w:val="000000"/>
          <w:u w:val="single"/>
        </w:rPr>
        <w:t>Division of State Police, county prosecutor</w:t>
      </w:r>
      <w:r>
        <w:rPr>
          <w:color w:val="000000"/>
          <w:u w:val="single"/>
        </w:rPr>
        <w:t>’</w:t>
      </w:r>
      <w:r w:rsidRPr="009C6CB4">
        <w:rPr>
          <w:color w:val="000000"/>
          <w:u w:val="single"/>
        </w:rPr>
        <w:t>s offices, Administrative Office of the Courts, Department of Corrections</w:t>
      </w:r>
      <w:r>
        <w:rPr>
          <w:color w:val="000000"/>
          <w:u w:val="single"/>
        </w:rPr>
        <w:t xml:space="preserve">, Office of the Public Defender, and county and municipal police </w:t>
      </w:r>
      <w:r w:rsidRPr="00907FEA">
        <w:rPr>
          <w:color w:val="000000"/>
          <w:u w:val="single"/>
        </w:rPr>
        <w:t>departments</w:t>
      </w:r>
      <w:r w:rsidRPr="00907FEA">
        <w:rPr>
          <w:u w:val="single"/>
        </w:rPr>
        <w:t xml:space="preserve"> </w:t>
      </w:r>
      <w:r w:rsidRPr="00907FEA">
        <w:rPr>
          <w:color w:val="000000"/>
          <w:u w:val="single"/>
          <w:shd w:val="clear" w:color="auto" w:fill="FEFEFE"/>
        </w:rPr>
        <w:t>may take any anticipatory action in advance thereof as may be necessary to implement the provisions of this act</w:t>
      </w:r>
      <w:r w:rsidRPr="00E750AA">
        <w:rPr>
          <w:rFonts w:ascii="Albertus Extra Bold" w:hAnsi="Albertus Extra Bold"/>
          <w:b/>
          <w:color w:val="000000"/>
          <w:shd w:val="clear" w:color="auto" w:fill="FEFEFE"/>
          <w:vertAlign w:val="superscript"/>
        </w:rPr>
        <w:t>1</w:t>
      </w:r>
      <w:r w:rsidRPr="00E750AA">
        <w:rPr>
          <w:color w:val="000000"/>
          <w:shd w:val="clear" w:color="auto" w:fill="FEFEFE"/>
        </w:rPr>
        <w:t>.</w:t>
      </w:r>
    </w:p>
    <w:sectPr w:rsidR="00A627EC" w:rsidRPr="00AA7880" w:rsidSect="008913B3">
      <w:headerReference w:type="default" r:id="rId14"/>
      <w:footerReference w:type="default" r:id="rId15"/>
      <w:headerReference w:type="first" r:id="rId16"/>
      <w:footerReference w:type="first" r:id="rId17"/>
      <w:pgSz w:w="12240" w:h="20160" w:code="5"/>
      <w:pgMar w:top="1440" w:right="2520" w:bottom="1728" w:left="2880" w:header="1181" w:footer="3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0FA1" w:rsidRDefault="005C0FA1">
      <w:r>
        <w:separator/>
      </w:r>
    </w:p>
  </w:endnote>
  <w:endnote w:type="continuationSeparator" w:id="0">
    <w:p w:rsidR="005C0FA1" w:rsidRDefault="005C0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B48" w:rsidRDefault="00D95506" w:rsidP="00D95506">
    <w:pPr>
      <w:pStyle w:val="sponUdate"/>
    </w:pPr>
    <w:r>
      <w:t>(Sponsorship Updated As Of: 9/21/2020)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66F8" w:rsidRPr="00921C91" w:rsidRDefault="001966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966F8" w:rsidRPr="00921C91" w:rsidRDefault="001966F8">
    <w:pPr>
      <w:pStyle w:val="Footer"/>
      <w:rPr>
        <w:szCs w:val="18"/>
      </w:rPr>
    </w:pPr>
  </w:p>
  <w:p w:rsidR="001966F8" w:rsidRPr="00921C91" w:rsidRDefault="001966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966F8" w:rsidRDefault="001966F8">
    <w:pPr>
      <w:pStyle w:val="Footer"/>
    </w:pPr>
    <w:r>
      <w:tab/>
      <w:t>Matter enclosed in superscript numerals has been adopted as follows:</w:t>
    </w:r>
  </w:p>
  <w:p w:rsidR="001966F8" w:rsidRDefault="001966F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July 30, 2020.</w:t>
    </w:r>
  </w:p>
  <w:p w:rsidR="001966F8" w:rsidRPr="001966F8" w:rsidRDefault="001966F8">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0FA1" w:rsidRDefault="005C0FA1">
      <w:r>
        <w:separator/>
      </w:r>
    </w:p>
  </w:footnote>
  <w:footnote w:type="continuationSeparator" w:id="0">
    <w:p w:rsidR="005C0FA1" w:rsidRDefault="005C0F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C61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51872" w:rsidRDefault="00351872" w:rsidP="00351872">
    <w:pPr>
      <w:pStyle w:val="bpuHeadSpon"/>
    </w:pPr>
    <w:r w:rsidRPr="00351872">
      <w:rPr>
        <w:rStyle w:val="bpuHeadSponChar"/>
      </w:rPr>
      <w:t>A1076</w:t>
    </w:r>
    <w:r>
      <w:t xml:space="preserve"> </w:t>
    </w:r>
    <w:r w:rsidR="001966F8">
      <w:t xml:space="preserve">[1R] </w:t>
    </w:r>
    <w:r>
      <w:t>SPEIGHT, MCKNIGHT</w:t>
    </w:r>
  </w:p>
  <w:p w:rsidR="00351872" w:rsidRDefault="00351872" w:rsidP="00351872">
    <w:pPr>
      <w:pStyle w:val="bpuHeadSpon"/>
    </w:pPr>
    <w:r>
      <w:fldChar w:fldCharType="begin"/>
    </w:r>
    <w:r>
      <w:instrText xml:space="preserve"> PAGE  \* MERGEFORMAT </w:instrText>
    </w:r>
    <w:r>
      <w:fldChar w:fldCharType="separate"/>
    </w:r>
    <w:r w:rsidR="00DC6159">
      <w:rPr>
        <w:noProof/>
      </w:rPr>
      <w:t>3</w:t>
    </w:r>
    <w:r>
      <w:fldChar w:fldCharType="end"/>
    </w:r>
  </w:p>
  <w:p w:rsidR="00351872" w:rsidRPr="00AF575C" w:rsidRDefault="00351872" w:rsidP="003518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51872" w:rsidRDefault="00351872" w:rsidP="00351872">
    <w:pPr>
      <w:pStyle w:val="bpuHeadSpon"/>
    </w:pPr>
    <w:r w:rsidRPr="00351872">
      <w:rPr>
        <w:rStyle w:val="bpuHeadSponChar"/>
      </w:rPr>
      <w:t>A1076</w:t>
    </w:r>
    <w:r>
      <w:t xml:space="preserve"> </w:t>
    </w:r>
    <w:r w:rsidR="001966F8">
      <w:t xml:space="preserve">[1R] </w:t>
    </w:r>
    <w:r>
      <w:t>SPEIGHT, MCKNIGHT</w:t>
    </w:r>
  </w:p>
  <w:p w:rsidR="00351872" w:rsidRDefault="00351872" w:rsidP="00351872">
    <w:pPr>
      <w:pStyle w:val="bpuHeadSpon"/>
    </w:pPr>
    <w:r>
      <w:fldChar w:fldCharType="begin"/>
    </w:r>
    <w:r>
      <w:instrText xml:space="preserve"> PAGE  \* MERGEFORMAT </w:instrText>
    </w:r>
    <w:r>
      <w:fldChar w:fldCharType="separate"/>
    </w:r>
    <w:r w:rsidR="00DC6159">
      <w:rPr>
        <w:noProof/>
      </w:rPr>
      <w:t>2</w:t>
    </w:r>
    <w:r>
      <w:fldChar w:fldCharType="end"/>
    </w:r>
  </w:p>
  <w:p w:rsidR="00351872" w:rsidRDefault="00351872" w:rsidP="003518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FA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421A"/>
    <w:rsid w:val="00156AE5"/>
    <w:rsid w:val="001762FB"/>
    <w:rsid w:val="00182504"/>
    <w:rsid w:val="00186D54"/>
    <w:rsid w:val="001966F8"/>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63AE"/>
    <w:rsid w:val="00214614"/>
    <w:rsid w:val="0022067D"/>
    <w:rsid w:val="00231838"/>
    <w:rsid w:val="00232C5B"/>
    <w:rsid w:val="002373F3"/>
    <w:rsid w:val="002463CF"/>
    <w:rsid w:val="0026254F"/>
    <w:rsid w:val="00266FB9"/>
    <w:rsid w:val="00271A9D"/>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5CF7"/>
    <w:rsid w:val="00346CF5"/>
    <w:rsid w:val="00351872"/>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2834"/>
    <w:rsid w:val="0041453D"/>
    <w:rsid w:val="0044404C"/>
    <w:rsid w:val="00452CA0"/>
    <w:rsid w:val="00470114"/>
    <w:rsid w:val="00470978"/>
    <w:rsid w:val="00470ABF"/>
    <w:rsid w:val="0048038F"/>
    <w:rsid w:val="00484B8A"/>
    <w:rsid w:val="00491B48"/>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1993"/>
    <w:rsid w:val="00560F96"/>
    <w:rsid w:val="0056610D"/>
    <w:rsid w:val="00574518"/>
    <w:rsid w:val="005836AB"/>
    <w:rsid w:val="00585FA1"/>
    <w:rsid w:val="005866AA"/>
    <w:rsid w:val="005876F1"/>
    <w:rsid w:val="00592664"/>
    <w:rsid w:val="0059343F"/>
    <w:rsid w:val="00596B76"/>
    <w:rsid w:val="005C0288"/>
    <w:rsid w:val="005C0FA1"/>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572A"/>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1671"/>
    <w:rsid w:val="007D0F64"/>
    <w:rsid w:val="007F02BF"/>
    <w:rsid w:val="007F2A14"/>
    <w:rsid w:val="0080085C"/>
    <w:rsid w:val="00802AF0"/>
    <w:rsid w:val="00806253"/>
    <w:rsid w:val="00811426"/>
    <w:rsid w:val="00820A1D"/>
    <w:rsid w:val="00841F07"/>
    <w:rsid w:val="00845739"/>
    <w:rsid w:val="008462AA"/>
    <w:rsid w:val="00846D3E"/>
    <w:rsid w:val="0084725C"/>
    <w:rsid w:val="008627AA"/>
    <w:rsid w:val="008628FF"/>
    <w:rsid w:val="00867FC7"/>
    <w:rsid w:val="00874609"/>
    <w:rsid w:val="0087660A"/>
    <w:rsid w:val="008823BC"/>
    <w:rsid w:val="008859B3"/>
    <w:rsid w:val="008913B3"/>
    <w:rsid w:val="008B313B"/>
    <w:rsid w:val="008B4545"/>
    <w:rsid w:val="008B6E84"/>
    <w:rsid w:val="008B7F8B"/>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6776"/>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367E"/>
    <w:rsid w:val="00A40A31"/>
    <w:rsid w:val="00A469CC"/>
    <w:rsid w:val="00A55E7F"/>
    <w:rsid w:val="00A627EC"/>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718D"/>
    <w:rsid w:val="00B50326"/>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5506"/>
    <w:rsid w:val="00D9742E"/>
    <w:rsid w:val="00D97D3E"/>
    <w:rsid w:val="00DA6AA9"/>
    <w:rsid w:val="00DB5B8E"/>
    <w:rsid w:val="00DC19C7"/>
    <w:rsid w:val="00DC283E"/>
    <w:rsid w:val="00DC6159"/>
    <w:rsid w:val="00DC75BA"/>
    <w:rsid w:val="00DD1E46"/>
    <w:rsid w:val="00DD6202"/>
    <w:rsid w:val="00DF4E47"/>
    <w:rsid w:val="00E0012A"/>
    <w:rsid w:val="00E025E4"/>
    <w:rsid w:val="00E03582"/>
    <w:rsid w:val="00E05DFC"/>
    <w:rsid w:val="00E33D7F"/>
    <w:rsid w:val="00E44D94"/>
    <w:rsid w:val="00E500AD"/>
    <w:rsid w:val="00E53E99"/>
    <w:rsid w:val="00E66E37"/>
    <w:rsid w:val="00E73613"/>
    <w:rsid w:val="00E73A9B"/>
    <w:rsid w:val="00E74087"/>
    <w:rsid w:val="00E750AA"/>
    <w:rsid w:val="00E75A35"/>
    <w:rsid w:val="00E7752C"/>
    <w:rsid w:val="00E8330C"/>
    <w:rsid w:val="00E84646"/>
    <w:rsid w:val="00E875D8"/>
    <w:rsid w:val="00E87B2A"/>
    <w:rsid w:val="00EB0958"/>
    <w:rsid w:val="00EB167F"/>
    <w:rsid w:val="00EB28D8"/>
    <w:rsid w:val="00EB6042"/>
    <w:rsid w:val="00EB71AE"/>
    <w:rsid w:val="00EC050B"/>
    <w:rsid w:val="00EE77BF"/>
    <w:rsid w:val="00EF5225"/>
    <w:rsid w:val="00F02081"/>
    <w:rsid w:val="00F0415D"/>
    <w:rsid w:val="00F06D44"/>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147D44E"/>
  <w15:docId w15:val="{82EB6E9B-4B7C-41B5-8B13-EE74CBF59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C16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1671"/>
    <w:rPr>
      <w:rFonts w:ascii="Segoe UI" w:hAnsi="Segoe UI" w:cs="Segoe UI"/>
      <w:spacing w:val="4"/>
      <w:sz w:val="18"/>
      <w:szCs w:val="18"/>
    </w:rPr>
  </w:style>
  <w:style w:type="character" w:styleId="LineNumber">
    <w:name w:val="line number"/>
    <w:basedOn w:val="DefaultParagraphFont"/>
    <w:semiHidden/>
    <w:unhideWhenUsed/>
    <w:rsid w:val="003518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BEECF-157F-4870-98DC-5830FB99B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744</Words>
  <Characters>4238</Characters>
  <Application>Microsoft Office Word</Application>
  <DocSecurity>0</DocSecurity>
  <Lines>114</Lines>
  <Paragraphs>40</Paragraphs>
  <ScaleCrop>false</ScaleCrop>
  <HeadingPairs>
    <vt:vector size="2" baseType="variant">
      <vt:variant>
        <vt:lpstr>Title</vt:lpstr>
      </vt:variant>
      <vt:variant>
        <vt:i4>1</vt:i4>
      </vt:variant>
    </vt:vector>
  </HeadingPairs>
  <TitlesOfParts>
    <vt:vector size="1" baseType="lpstr">
      <vt:lpstr>A1076 1R</vt:lpstr>
    </vt:vector>
  </TitlesOfParts>
  <Manager>R29</Manager>
  <Company>OFFICE of LEGISLATIVE SERVICES</Company>
  <LinksUpToDate>false</LinksUpToDate>
  <CharactersWithSpaces>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A1076 1R</dc:title>
  <dc:creator>Assemblywomen  SPEIGHT and  MCKNIGHT</dc:creator>
  <cp:keywords>A1076|3|LP |234|92|276|!||</cp:keywords>
  <dc:description>PREFILED 2020_x000d_
AMENDED JULY 30, 2020</dc:description>
  <cp:lastModifiedBy>Todaro, Vivian</cp:lastModifiedBy>
  <cp:revision>2</cp:revision>
  <cp:lastPrinted>2020-09-23T14:47:00Z</cp:lastPrinted>
  <dcterms:created xsi:type="dcterms:W3CDTF">2020-09-23T14:47:00Z</dcterms:created>
  <dcterms:modified xsi:type="dcterms:W3CDTF">2020-09-23T14:47:00Z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