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4CB" w:rsidRDefault="003844CB" w:rsidP="003844CB">
      <w:pPr>
        <w:pStyle w:val="bpuBill"/>
      </w:pPr>
      <w:bookmarkStart w:id="0" w:name="bpuFrontPg"/>
      <w:bookmarkStart w:id="1" w:name="_GoBack"/>
      <w:bookmarkEnd w:id="0"/>
      <w:bookmarkEnd w:id="1"/>
      <w:r>
        <w:t xml:space="preserve">ASSEMBLY, No. 1081 </w:t>
      </w:r>
    </w:p>
    <w:p w:rsidR="003844CB" w:rsidRPr="003844CB" w:rsidRDefault="003844CB" w:rsidP="003844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494174" r:id="rId8"/>
        </w:object>
      </w:r>
    </w:p>
    <w:p w:rsidR="003844CB" w:rsidRDefault="003844CB" w:rsidP="003844CB">
      <w:pPr>
        <w:pStyle w:val="bpuState"/>
      </w:pPr>
      <w:r>
        <w:t>STATE OF NEW JERSEY</w:t>
      </w:r>
    </w:p>
    <w:p w:rsidR="003844CB" w:rsidRDefault="003844CB" w:rsidP="003844CB">
      <w:pPr>
        <w:pStyle w:val="bpuLegislature"/>
      </w:pPr>
      <w:r>
        <w:t>219th LEGISLATURE</w:t>
      </w:r>
    </w:p>
    <w:p w:rsidR="003844CB" w:rsidRDefault="003844CB" w:rsidP="003844CB">
      <w:pPr>
        <w:pStyle w:val="bpuWpGraphic"/>
      </w:pPr>
      <w:r>
        <w:object w:dxaOrig="8985" w:dyaOrig="255">
          <v:shape id="_x0000_i1026" type="#_x0000_t75" style="width:6in;height:11.8pt" o:ole="">
            <v:imagedata r:id="rId7" o:title=""/>
          </v:shape>
          <o:OLEObject Type="Embed" ProgID="WPWin6.1" ShapeID="_x0000_i1026" DrawAspect="Content" ObjectID="_1642494175" r:id="rId9"/>
        </w:object>
      </w:r>
      <w:r>
        <w:t xml:space="preserve">  </w:t>
      </w:r>
    </w:p>
    <w:p w:rsidR="003844CB" w:rsidRDefault="003844CB" w:rsidP="003844CB">
      <w:pPr>
        <w:pStyle w:val="bpuIntro"/>
      </w:pPr>
      <w:r>
        <w:t>PRE-FILED FOR INTRODUCTION IN THE 2020 SESSION</w:t>
      </w:r>
    </w:p>
    <w:p w:rsidR="003844CB" w:rsidRDefault="003844CB" w:rsidP="003844CB">
      <w:pPr>
        <w:pStyle w:val="bpuIntro"/>
      </w:pPr>
    </w:p>
    <w:p w:rsidR="003844CB" w:rsidRDefault="003844CB" w:rsidP="003844CB">
      <w:pPr>
        <w:pStyle w:val="bpuIntro"/>
        <w:sectPr w:rsidR="003844CB" w:rsidSect="008A2E5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844CB" w:rsidRDefault="003844CB" w:rsidP="003844CB">
      <w:pPr>
        <w:pStyle w:val="bpuIntro"/>
      </w:pPr>
    </w:p>
    <w:p w:rsidR="003844CB" w:rsidRDefault="003844CB" w:rsidP="003844CB">
      <w:pPr>
        <w:pStyle w:val="bpuSponsor"/>
      </w:pPr>
      <w:r>
        <w:t>Sponsored by:</w:t>
      </w:r>
    </w:p>
    <w:p w:rsidR="003844CB" w:rsidRDefault="003844CB" w:rsidP="003844CB">
      <w:pPr>
        <w:pStyle w:val="bpuSponsor"/>
      </w:pPr>
      <w:r>
        <w:t>Assemblywoman  SHANIQUE SPEIGHT</w:t>
      </w:r>
    </w:p>
    <w:p w:rsidR="003844CB" w:rsidRDefault="003844CB" w:rsidP="003844CB">
      <w:pPr>
        <w:pStyle w:val="bpuSponsor"/>
      </w:pPr>
      <w:r>
        <w:t>District 29 (Essex)</w:t>
      </w:r>
    </w:p>
    <w:p w:rsidR="003844CB" w:rsidRDefault="003844CB" w:rsidP="003844CB">
      <w:pPr>
        <w:pStyle w:val="bpuSponsor"/>
      </w:pPr>
      <w:r>
        <w:t>Assemblywoman  ANGELA V. MCKNIGHT</w:t>
      </w:r>
    </w:p>
    <w:p w:rsidR="003844CB" w:rsidRDefault="003844CB" w:rsidP="003844CB">
      <w:pPr>
        <w:pStyle w:val="bpuSponsor"/>
      </w:pPr>
      <w:r>
        <w:t>District 31 (Hudson)</w:t>
      </w:r>
    </w:p>
    <w:p w:rsidR="003844CB" w:rsidRDefault="008A2E52" w:rsidP="008A2E52">
      <w:pPr>
        <w:pStyle w:val="bpuSponsor"/>
      </w:pPr>
      <w:r>
        <w:t>Assemblywoman  CAROL A. MURPHY</w:t>
      </w:r>
    </w:p>
    <w:p w:rsidR="008A2E52" w:rsidRDefault="008A2E52" w:rsidP="008A2E52">
      <w:pPr>
        <w:pStyle w:val="bpuSponsor"/>
      </w:pPr>
      <w:r>
        <w:t>District 7 (Burlington)</w:t>
      </w:r>
    </w:p>
    <w:p w:rsidR="008A2E52" w:rsidRPr="008A2E52" w:rsidRDefault="008A2E52" w:rsidP="008A2E52">
      <w:pPr>
        <w:pStyle w:val="bpuSponsor"/>
      </w:pPr>
    </w:p>
    <w:p w:rsidR="003844CB" w:rsidRDefault="003844CB" w:rsidP="003844CB">
      <w:pPr>
        <w:pStyle w:val="bpuSponsor"/>
      </w:pPr>
    </w:p>
    <w:p w:rsidR="003844CB" w:rsidRDefault="003844CB" w:rsidP="003844CB">
      <w:pPr>
        <w:pStyle w:val="bpuSponsor"/>
      </w:pPr>
    </w:p>
    <w:p w:rsidR="003844CB" w:rsidRDefault="003844CB" w:rsidP="003844CB">
      <w:pPr>
        <w:pStyle w:val="bpuSponsor"/>
      </w:pPr>
    </w:p>
    <w:p w:rsidR="003844CB" w:rsidRDefault="003844CB" w:rsidP="003844CB">
      <w:pPr>
        <w:pStyle w:val="bpuSponsor"/>
      </w:pPr>
      <w:r>
        <w:t>SYNOPSIS</w:t>
      </w:r>
    </w:p>
    <w:p w:rsidR="003844CB" w:rsidRDefault="003844CB" w:rsidP="003844CB">
      <w:pPr>
        <w:pStyle w:val="bpuNormText"/>
      </w:pPr>
      <w:r>
        <w:tab/>
        <w:t xml:space="preserve">Requires Commission of Human Trafficking to create public awareness sign to be posted by certain establishments. </w:t>
      </w:r>
    </w:p>
    <w:p w:rsidR="003844CB" w:rsidRDefault="003844CB" w:rsidP="003844CB">
      <w:pPr>
        <w:pStyle w:val="bpuNormText"/>
      </w:pPr>
    </w:p>
    <w:p w:rsidR="003844CB" w:rsidRDefault="003844CB" w:rsidP="003844CB">
      <w:pPr>
        <w:pStyle w:val="bpuSponsor"/>
      </w:pPr>
      <w:r>
        <w:t xml:space="preserve">CURRENT VERSION OF TEXT </w:t>
      </w:r>
    </w:p>
    <w:p w:rsidR="003844CB" w:rsidRDefault="003844CB" w:rsidP="003844CB">
      <w:pPr>
        <w:pStyle w:val="bpuNormText"/>
      </w:pPr>
      <w:r>
        <w:tab/>
        <w:t>Introduced Pending Technical Review by Legislative Counsel.</w:t>
      </w:r>
    </w:p>
    <w:p w:rsidR="003844CB" w:rsidRDefault="003844CB" w:rsidP="003844C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844CB" w:rsidRDefault="003844C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844CB" w:rsidSect="003844CB">
          <w:type w:val="continuous"/>
          <w:pgSz w:w="12240" w:h="20160" w:code="5"/>
          <w:pgMar w:top="2160" w:right="2275" w:bottom="1440" w:left="2275" w:header="72" w:footer="720" w:gutter="0"/>
          <w:pgNumType w:start="1"/>
          <w:cols w:space="720"/>
          <w:docGrid w:linePitch="360"/>
        </w:sectPr>
      </w:pPr>
    </w:p>
    <w:p w:rsidR="001D7F26" w:rsidRPr="00677316" w:rsidRDefault="001D7F26" w:rsidP="001D7F26">
      <w:pPr>
        <w:pStyle w:val="HangingAnAct"/>
        <w:rPr>
          <w:rStyle w:val="HangingAnActChar"/>
        </w:rPr>
      </w:pPr>
      <w:r>
        <w:rPr>
          <w:rStyle w:val="BillHead"/>
        </w:rPr>
        <w:lastRenderedPageBreak/>
        <w:t>An Act</w:t>
      </w:r>
      <w:r w:rsidRPr="006B7FA7">
        <w:rPr>
          <w:rStyle w:val="HangingAnActChar"/>
        </w:rPr>
        <w:t xml:space="preserve"> </w:t>
      </w:r>
      <w:r>
        <w:t>concerning certain signs and amending and supplementing</w:t>
      </w:r>
      <w:r w:rsidRPr="003E10B7">
        <w:t xml:space="preserve"> </w:t>
      </w:r>
      <w:r>
        <w:t xml:space="preserve">P.L. 2013, c.51.  </w:t>
      </w:r>
    </w:p>
    <w:p w:rsidR="001D7F26" w:rsidRPr="00D71D68" w:rsidRDefault="001D7F26" w:rsidP="001D7F26"/>
    <w:p w:rsidR="001D7F26" w:rsidRPr="00AA7880" w:rsidRDefault="001D7F26" w:rsidP="001D7F26">
      <w:r>
        <w:tab/>
      </w:r>
      <w:r>
        <w:rPr>
          <w:rStyle w:val="BillHeading2"/>
        </w:rPr>
        <w:t xml:space="preserve">Be It Enacted </w:t>
      </w:r>
      <w:r>
        <w:rPr>
          <w:rStyle w:val="BillLanguage"/>
        </w:rPr>
        <w:t>by the Senate and General Assembly of the State of New Jersey:</w:t>
      </w:r>
    </w:p>
    <w:p w:rsidR="001D7F26" w:rsidRDefault="001D7F26" w:rsidP="001D7F26"/>
    <w:p w:rsidR="001D7F26" w:rsidRDefault="001D7F26" w:rsidP="001D7F26">
      <w:r>
        <w:tab/>
        <w:t>1.</w:t>
      </w:r>
      <w:r>
        <w:tab/>
        <w:t>Section 1 of P.L. 2013, c.51 (C.52:17B-237) is amended to read as follows:</w:t>
      </w:r>
    </w:p>
    <w:p w:rsidR="001D7F26" w:rsidRDefault="003844CB" w:rsidP="001D7F26">
      <w:r>
        <w:tab/>
        <w:t>1.</w:t>
      </w:r>
      <w:r>
        <w:tab/>
      </w:r>
      <w:r w:rsidR="001D7F26">
        <w:t>a.  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1D7F26" w:rsidRDefault="001D7F26" w:rsidP="001D7F26">
      <w:r>
        <w:tab/>
        <w:t>b.</w:t>
      </w:r>
      <w:r>
        <w:tab/>
        <w:t>(1)  Of the public members first appointed:</w:t>
      </w:r>
    </w:p>
    <w:p w:rsidR="001D7F26" w:rsidRDefault="001D7F26" w:rsidP="001D7F26">
      <w:r>
        <w:tab/>
        <w:t>(a)</w:t>
      </w:r>
      <w:r>
        <w:tab/>
        <w:t>the following shall serve for a term of three years:  one member appointed upon the recommendation of the Senate President; one member appointed upon the recommendation of the Speaker of the General Assembly; and two members appointed by the Governor; and</w:t>
      </w:r>
    </w:p>
    <w:p w:rsidR="001D7F26" w:rsidRDefault="001D7F26" w:rsidP="001D7F26">
      <w:r>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1D7F26" w:rsidRDefault="001D7F26" w:rsidP="001D7F26">
      <w:r>
        <w:tab/>
        <w:t>(c)</w:t>
      </w:r>
      <w:r>
        <w:tab/>
        <w:t>Upon the conclusion of the initial terms, each public member shall be appointed for a term of three years.</w:t>
      </w:r>
    </w:p>
    <w:p w:rsidR="001D7F26" w:rsidRDefault="001D7F26" w:rsidP="001D7F26">
      <w:r>
        <w:tab/>
        <w:t>(2)</w:t>
      </w:r>
      <w:r>
        <w:tab/>
        <w:t>Each member appointed shall hold office for the term of appointment and until a successor shall have been appointed and qualified.</w:t>
      </w:r>
    </w:p>
    <w:p w:rsidR="001D7F26" w:rsidRDefault="001D7F26" w:rsidP="001D7F26">
      <w:r>
        <w:tab/>
        <w:t>(3)</w:t>
      </w:r>
      <w:r>
        <w:tab/>
        <w:t>Any vacancy in the membership of the commission shall be filled by appointment in the same manner as the original appointment was made.</w:t>
      </w:r>
    </w:p>
    <w:p w:rsidR="001D7F26" w:rsidRDefault="003844CB" w:rsidP="001D7F26">
      <w:r>
        <w:tab/>
        <w:t>c.</w:t>
      </w:r>
      <w:r>
        <w:tab/>
      </w:r>
      <w:r w:rsidR="001D7F26">
        <w:t>(1)  The commission shall organize upon the appointment of a majority of its authorized membership.  The members shall elect one of the members to serve as chair and vice-chair, and the chair may appoint a secretary, who need not be a member of the commission.</w:t>
      </w:r>
    </w:p>
    <w:p w:rsidR="001D7F26" w:rsidRDefault="001D7F26" w:rsidP="001D7F26">
      <w:r>
        <w:tab/>
        <w:t>(2)</w:t>
      </w:r>
      <w:r>
        <w:tab/>
        <w:t xml:space="preserve">The commission shall meet at those times and places within the State of </w:t>
      </w:r>
      <w:smartTag w:uri="urn:schemas-microsoft-com:office:smarttags" w:element="State">
        <w:smartTag w:uri="urn:schemas-microsoft-com:office:smarttags" w:element="place">
          <w:r>
            <w:t>New Jersey</w:t>
          </w:r>
        </w:smartTag>
      </w:smartTag>
      <w:r>
        <w:t xml:space="preserve"> as the commission shall determine.  A majority of the commission's authorized membership shall constitute a quorum for the transaction of any business, for the performance of any duty, or for the exercise of any power of the commission.</w:t>
      </w:r>
    </w:p>
    <w:p w:rsidR="001D7F26" w:rsidRDefault="001D7F26" w:rsidP="001D7F26">
      <w:r>
        <w:tab/>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1D7F26" w:rsidRDefault="001D7F26" w:rsidP="001D7F26">
      <w:r>
        <w:tab/>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1D7F26" w:rsidRDefault="001D7F26" w:rsidP="001D7F26">
      <w:r>
        <w:tab/>
        <w:t>f.</w:t>
      </w:r>
      <w:r>
        <w:tab/>
        <w:t>It shall be the duty of the commission to:</w:t>
      </w:r>
    </w:p>
    <w:p w:rsidR="001D7F26" w:rsidRDefault="001D7F26" w:rsidP="001D7F26">
      <w:r>
        <w:tab/>
        <w:t>(1)</w:t>
      </w:r>
      <w:r>
        <w:tab/>
        <w:t>Evaluate the existing law concerning human trafficking and the enforcement thereof, and to make recommendations for legislation, if appropriate;</w:t>
      </w:r>
    </w:p>
    <w:p w:rsidR="001D7F26" w:rsidRPr="00466E60" w:rsidRDefault="001D7F26" w:rsidP="001D7F26">
      <w:r>
        <w:tab/>
        <w:t>(2)</w:t>
      </w:r>
      <w:r>
        <w:tab/>
        <w:t>Review existing victim assistance programs and analyze the costs, organization, and availability of these services for victims of human trafficking and to make recommendations for legislation, if appropriate</w:t>
      </w:r>
      <w:r w:rsidRPr="00466E60">
        <w:t xml:space="preserve">; </w:t>
      </w:r>
    </w:p>
    <w:p w:rsidR="001D7F26" w:rsidRPr="00466E60" w:rsidRDefault="001D7F26" w:rsidP="001D7F26">
      <w:r w:rsidRPr="00466E60">
        <w:tab/>
        <w:t>(3)</w:t>
      </w:r>
      <w:r w:rsidRPr="00466E60">
        <w:tab/>
        <w:t>Promote a coordinated response by public and private resources for victims of human trafficking; and</w:t>
      </w:r>
    </w:p>
    <w:p w:rsidR="001D7F26" w:rsidRDefault="001D7F26" w:rsidP="001D7F26">
      <w:r w:rsidRPr="00466E60">
        <w:tab/>
        <w:t>(4)</w:t>
      </w:r>
      <w:r w:rsidRPr="00466E60">
        <w:tab/>
        <w:t xml:space="preserve">Develop mechanisms to promote public awareness of human trafficking, including </w:t>
      </w:r>
      <w:r w:rsidRPr="00466E60">
        <w:rPr>
          <w:u w:val="single"/>
        </w:rPr>
        <w:t>the creation of a sign</w:t>
      </w:r>
      <w:r w:rsidRPr="00466E60">
        <w:t xml:space="preserve"> </w:t>
      </w:r>
      <w:r w:rsidRPr="00466E60">
        <w:rPr>
          <w:rFonts w:ascii="Albertus Extra Bold" w:hAnsi="Albertus Extra Bold"/>
          <w:b/>
        </w:rPr>
        <w:t>[</w:t>
      </w:r>
      <w:r w:rsidRPr="00466E60">
        <w:t>promotion of</w:t>
      </w:r>
      <w:r w:rsidRPr="00466E60">
        <w:rPr>
          <w:rFonts w:ascii="Albertus Extra Bold" w:hAnsi="Albertus Extra Bold"/>
          <w:b/>
        </w:rPr>
        <w:t>]</w:t>
      </w:r>
      <w:r w:rsidRPr="00466E60">
        <w:t xml:space="preserve"> </w:t>
      </w:r>
      <w:r w:rsidRPr="00466E60">
        <w:rPr>
          <w:u w:val="single"/>
        </w:rPr>
        <w:t>promoting, among other things,</w:t>
      </w:r>
      <w:r w:rsidRPr="00466E60">
        <w:t xml:space="preserve"> the national, 24-hour toll-free hotline telephone service on human trafficking described</w:t>
      </w:r>
      <w:r>
        <w:t xml:space="preserve"> under section 18 of P.L.2013, c.51 (C.2C:13-11), and the promotion of training courses and other educational materials for use by persons required under section 19 of P.L.2013, c.51 (C.2C:13-12) to undergo training on the handling of and response procedures for suspected human trafficking activities.</w:t>
      </w:r>
    </w:p>
    <w:p w:rsidR="001D7F26" w:rsidRDefault="001D7F26" w:rsidP="001D7F26">
      <w:r>
        <w:tab/>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1D7F26" w:rsidRDefault="001D7F26" w:rsidP="001D7F26">
      <w:r>
        <w:t>(</w:t>
      </w:r>
      <w:proofErr w:type="spellStart"/>
      <w:r>
        <w:t>cf</w:t>
      </w:r>
      <w:proofErr w:type="spellEnd"/>
      <w:r>
        <w:t>: P.L.2013, c.51, s.1)</w:t>
      </w:r>
    </w:p>
    <w:p w:rsidR="001D7F26" w:rsidRDefault="001D7F26" w:rsidP="001D7F26"/>
    <w:p w:rsidR="001D7F26" w:rsidRPr="00466E60" w:rsidRDefault="001D7F26" w:rsidP="001D7F26">
      <w:r>
        <w:tab/>
        <w:t>2.</w:t>
      </w:r>
      <w:r>
        <w:tab/>
        <w:t xml:space="preserve">(New section)  </w:t>
      </w:r>
      <w:r w:rsidRPr="00A1485D">
        <w:t xml:space="preserve">a. </w:t>
      </w:r>
      <w:r>
        <w:t xml:space="preserve"> </w:t>
      </w:r>
      <w:r w:rsidRPr="00A1485D">
        <w:t xml:space="preserve">Pursuant to section 1 of P.L. 2013, c.51 (C.52:17B-237), the Commission on Human Trafficking shall develop </w:t>
      </w:r>
      <w:r>
        <w:t>a</w:t>
      </w:r>
      <w:r w:rsidRPr="00A1485D">
        <w:t xml:space="preserve"> </w:t>
      </w:r>
      <w:r>
        <w:t>public awareness</w:t>
      </w:r>
      <w:r w:rsidRPr="00A1485D">
        <w:t xml:space="preserve"> sign </w:t>
      </w:r>
      <w:r>
        <w:t xml:space="preserve">containing information on how to identify and report </w:t>
      </w:r>
      <w:r w:rsidRPr="00466E60">
        <w:t xml:space="preserve">suspected human trafficking, including, but not limited to, </w:t>
      </w:r>
      <w:r>
        <w:t xml:space="preserve">by </w:t>
      </w:r>
      <w:r w:rsidRPr="00466E60">
        <w:t>providing the national, 24-hour toll-free hotline telephone service on human trafficking described under section 18 of P.L.2013, c.51 (C.2C:13-11).  The Commission may revise the public awareness sign</w:t>
      </w:r>
      <w:r>
        <w:t xml:space="preserve"> as need may require</w:t>
      </w:r>
      <w:r w:rsidRPr="00466E60">
        <w:t xml:space="preserve">.  </w:t>
      </w:r>
    </w:p>
    <w:p w:rsidR="001D7F26" w:rsidRPr="00466E60" w:rsidRDefault="003844CB" w:rsidP="001D7F26">
      <w:r>
        <w:tab/>
        <w:t>b.</w:t>
      </w:r>
      <w:r>
        <w:tab/>
      </w:r>
      <w:r w:rsidR="001D7F26" w:rsidRPr="00466E60">
        <w:t>The following establishments are required to display the public awareness sign described in subsection a.:</w:t>
      </w:r>
    </w:p>
    <w:p w:rsidR="001D7F26" w:rsidRDefault="001D7F26" w:rsidP="001D7F26">
      <w:r w:rsidRPr="00466E60">
        <w:tab/>
        <w:t>(1</w:t>
      </w:r>
      <w:r>
        <w:t>) Lodging facilities;</w:t>
      </w:r>
    </w:p>
    <w:p w:rsidR="001D7F26" w:rsidRPr="00A1485D" w:rsidRDefault="001D7F26" w:rsidP="001D7F26">
      <w:r>
        <w:tab/>
        <w:t>(2) Airports;</w:t>
      </w:r>
    </w:p>
    <w:p w:rsidR="001D7F26" w:rsidRPr="00A1485D" w:rsidRDefault="001D7F26" w:rsidP="001D7F26">
      <w:r>
        <w:tab/>
        <w:t xml:space="preserve">(3) </w:t>
      </w:r>
      <w:r w:rsidRPr="00A1485D">
        <w:t>Passenger rail or light rail stations</w:t>
      </w:r>
      <w:r>
        <w:t xml:space="preserve"> and bus stations</w:t>
      </w:r>
      <w:r w:rsidRPr="00A1485D">
        <w:t>;</w:t>
      </w:r>
    </w:p>
    <w:p w:rsidR="001D7F26" w:rsidRPr="00A1485D" w:rsidRDefault="001D7F26" w:rsidP="001D7F26">
      <w:r w:rsidRPr="00A1485D">
        <w:tab/>
        <w:t>(</w:t>
      </w:r>
      <w:r>
        <w:t>4</w:t>
      </w:r>
      <w:r w:rsidRPr="00A1485D">
        <w:t>)</w:t>
      </w:r>
      <w:r>
        <w:t xml:space="preserve"> Hospitals and urgent care centers</w:t>
      </w:r>
      <w:r w:rsidRPr="00A1485D">
        <w:t>;</w:t>
      </w:r>
    </w:p>
    <w:p w:rsidR="001D7F26" w:rsidRDefault="001D7F26" w:rsidP="001D7F26">
      <w:r>
        <w:tab/>
        <w:t>(5</w:t>
      </w:r>
      <w:r w:rsidRPr="00A1485D">
        <w:t xml:space="preserve">) </w:t>
      </w:r>
      <w:r>
        <w:t>Schools and colleges/universities</w:t>
      </w:r>
      <w:r w:rsidRPr="00A1485D">
        <w:t>;</w:t>
      </w:r>
    </w:p>
    <w:p w:rsidR="001D7F26" w:rsidRPr="00A1485D" w:rsidRDefault="001D7F26" w:rsidP="001D7F26">
      <w:r>
        <w:tab/>
        <w:t xml:space="preserve">(6) </w:t>
      </w:r>
      <w:r w:rsidRPr="00A1485D">
        <w:t>Truck stops</w:t>
      </w:r>
      <w:r>
        <w:t xml:space="preserve"> and rest areas</w:t>
      </w:r>
      <w:r w:rsidRPr="00A1485D">
        <w:t>;</w:t>
      </w:r>
    </w:p>
    <w:p w:rsidR="001D7F26" w:rsidRPr="00A1485D" w:rsidRDefault="001D7F26" w:rsidP="001D7F26">
      <w:r>
        <w:tab/>
        <w:t>(7</w:t>
      </w:r>
      <w:r w:rsidRPr="00A1485D">
        <w:t xml:space="preserve">) </w:t>
      </w:r>
      <w:r>
        <w:t>Restaurants, bars, and nightclubs</w:t>
      </w:r>
      <w:r w:rsidRPr="00A1485D">
        <w:t>;</w:t>
      </w:r>
    </w:p>
    <w:p w:rsidR="001D7F26" w:rsidRPr="00A1485D" w:rsidRDefault="001D7F26" w:rsidP="001D7F26">
      <w:r>
        <w:tab/>
        <w:t>(8</w:t>
      </w:r>
      <w:r w:rsidRPr="00A1485D">
        <w:t>)</w:t>
      </w:r>
      <w:r>
        <w:t xml:space="preserve"> S</w:t>
      </w:r>
      <w:r w:rsidRPr="00E75F44">
        <w:t>exually oriented businesses as defined in subsection a. of section 2 of P.L.1995, c.167 (2C:33-12.2);</w:t>
      </w:r>
    </w:p>
    <w:p w:rsidR="001D7F26" w:rsidRDefault="001D7F26" w:rsidP="001D7F26">
      <w:r>
        <w:tab/>
        <w:t>(9</w:t>
      </w:r>
      <w:r w:rsidRPr="00A1485D">
        <w:t xml:space="preserve">) </w:t>
      </w:r>
      <w:r>
        <w:t>Major sporting events or conventions</w:t>
      </w:r>
      <w:r w:rsidRPr="00A1485D">
        <w:t>;</w:t>
      </w:r>
      <w:r>
        <w:t xml:space="preserve"> and</w:t>
      </w:r>
    </w:p>
    <w:p w:rsidR="001D7F26" w:rsidRDefault="001D7F26" w:rsidP="001D7F26">
      <w:r>
        <w:tab/>
        <w:t xml:space="preserve">(10) </w:t>
      </w:r>
      <w:r w:rsidRPr="00466E60">
        <w:t>Places of business of employers of massage or bodywork therapists, which employers are subject to registration, and which therapists are subject to licensure, pursuant to P.L.1999, c.19 (C.45:11-53 et seq.) and section 13 of P.L.</w:t>
      </w:r>
      <w:r>
        <w:t xml:space="preserve">2007, c.337 (C.45:11-68 et al.).  </w:t>
      </w:r>
    </w:p>
    <w:p w:rsidR="001D7F26" w:rsidRDefault="001D7F26" w:rsidP="001D7F26"/>
    <w:p w:rsidR="003844CB" w:rsidRDefault="001D7F26" w:rsidP="003844CB">
      <w:r>
        <w:tab/>
        <w:t>3.</w:t>
      </w:r>
      <w:r>
        <w:tab/>
        <w:t>This act shall take effect immediately.</w:t>
      </w:r>
      <w:r w:rsidR="003844CB">
        <w:br w:type="page"/>
      </w:r>
    </w:p>
    <w:p w:rsidR="001D7F26" w:rsidRDefault="001D7F26" w:rsidP="001D7F26">
      <w:pPr>
        <w:jc w:val="center"/>
      </w:pPr>
      <w:r w:rsidRPr="00D71D68">
        <w:t>STATEMENT</w:t>
      </w:r>
    </w:p>
    <w:p w:rsidR="001D7F26" w:rsidRPr="00AA7880" w:rsidRDefault="001D7F26" w:rsidP="001D7F26">
      <w:pPr>
        <w:jc w:val="center"/>
      </w:pPr>
    </w:p>
    <w:p w:rsidR="001D7F26" w:rsidRDefault="001D7F26" w:rsidP="001D7F26">
      <w:r>
        <w:tab/>
        <w:t xml:space="preserve">This bill would expand the current duties of the Commission on Human Trafficking to </w:t>
      </w:r>
      <w:r w:rsidRPr="00466E60">
        <w:t>include creating a sign promoting, amon</w:t>
      </w:r>
      <w:r w:rsidRPr="00BA0DD5">
        <w:t xml:space="preserve">g other </w:t>
      </w:r>
      <w:r w:rsidRPr="008A670F">
        <w:t>things, the</w:t>
      </w:r>
      <w:r>
        <w:t xml:space="preserve"> national, 24-hour toll-free hotline telephone service on human trafficking described under section 18 of P.L.2013, c.51 (C.2C:13-11).  </w:t>
      </w:r>
    </w:p>
    <w:p w:rsidR="001D7F26" w:rsidRPr="00795297" w:rsidRDefault="001D7F26" w:rsidP="001D7F26">
      <w:r>
        <w:tab/>
        <w:t xml:space="preserve">The </w:t>
      </w:r>
      <w:r w:rsidRPr="00795297">
        <w:t xml:space="preserve">Commission would develop a public awareness sign containing information on how to identify and report suspected human trafficking, including, but not limited to, </w:t>
      </w:r>
      <w:r>
        <w:t xml:space="preserve">by </w:t>
      </w:r>
      <w:r w:rsidRPr="00795297">
        <w:t xml:space="preserve">providing the national, 24-hour toll-free hotline telephone service on human trafficking described under section 18 of P.L.2013, c.51 (C.2C:13-11).  </w:t>
      </w:r>
      <w:r w:rsidRPr="00466E60">
        <w:t>The Commission may revise the public awareness sign</w:t>
      </w:r>
      <w:r>
        <w:t xml:space="preserve"> as need may require.</w:t>
      </w:r>
    </w:p>
    <w:p w:rsidR="001D7F26" w:rsidRDefault="001D7F26" w:rsidP="001D7F26">
      <w:r w:rsidRPr="00795297">
        <w:tab/>
        <w:t xml:space="preserve">The following establishments are required to display this public awareness sign: </w:t>
      </w:r>
      <w:r>
        <w:t>lodging facilities; airports; p</w:t>
      </w:r>
      <w:r w:rsidRPr="00A1485D">
        <w:t>assenger rail or light rail stations</w:t>
      </w:r>
      <w:r>
        <w:t xml:space="preserve"> and bus stations</w:t>
      </w:r>
      <w:r w:rsidRPr="00A1485D">
        <w:t>;</w:t>
      </w:r>
      <w:r>
        <w:t xml:space="preserve"> hospitals and urgent care centers</w:t>
      </w:r>
      <w:r w:rsidRPr="00A1485D">
        <w:t>;</w:t>
      </w:r>
      <w:r>
        <w:t xml:space="preserve"> schools and colleges/universities</w:t>
      </w:r>
      <w:r w:rsidRPr="00A1485D">
        <w:t>;</w:t>
      </w:r>
      <w:r>
        <w:t xml:space="preserve"> t</w:t>
      </w:r>
      <w:r w:rsidRPr="00A1485D">
        <w:t>ruck stops</w:t>
      </w:r>
      <w:r>
        <w:t xml:space="preserve"> and rest areas</w:t>
      </w:r>
      <w:r w:rsidRPr="00A1485D">
        <w:t>;</w:t>
      </w:r>
      <w:r>
        <w:t xml:space="preserve"> restaurants, bars, and nightclubs; </w:t>
      </w:r>
      <w:r w:rsidRPr="00E75F44">
        <w:t>sexually oriented businesses as defined in subsection a. of section 2 of P.L.1995, c.167 (2C:33-12.2);</w:t>
      </w:r>
      <w:r>
        <w:t xml:space="preserve"> major sporting events or conventions</w:t>
      </w:r>
      <w:r w:rsidRPr="00A1485D">
        <w:t>;</w:t>
      </w:r>
      <w:r>
        <w:t xml:space="preserve"> and p</w:t>
      </w:r>
      <w:r w:rsidRPr="00466E60">
        <w:t>laces of business of employers of massage or bodywork therapists, which employers are subject to registration, and which therapists are subject to licensure, pursuant to P.L.1999, c.19 (C.45:11-53 et seq.) and section 13 of P.L.2007, c.337 (C.45:11-68 et al.)</w:t>
      </w:r>
      <w:r>
        <w:t xml:space="preserve">. </w:t>
      </w:r>
    </w:p>
    <w:sectPr w:rsidR="001D7F26" w:rsidSect="003844C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892" w:rsidRDefault="00CE2892">
      <w:r>
        <w:separator/>
      </w:r>
    </w:p>
  </w:endnote>
  <w:endnote w:type="continuationSeparator" w:id="0">
    <w:p w:rsidR="00CE2892" w:rsidRDefault="00CE2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E52" w:rsidRDefault="008A2E52" w:rsidP="008A2E52">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44CB" w:rsidRPr="00921C91" w:rsidRDefault="003844C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44CB" w:rsidRPr="00921C91" w:rsidRDefault="003844CB">
    <w:pPr>
      <w:pStyle w:val="Footer"/>
      <w:rPr>
        <w:szCs w:val="18"/>
      </w:rPr>
    </w:pPr>
  </w:p>
  <w:p w:rsidR="003844CB" w:rsidRPr="00921C91" w:rsidRDefault="003844C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844CB" w:rsidRDefault="003844C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892" w:rsidRDefault="00CE2892">
      <w:r>
        <w:separator/>
      </w:r>
    </w:p>
  </w:footnote>
  <w:footnote w:type="continuationSeparator" w:id="0">
    <w:p w:rsidR="00CE2892" w:rsidRDefault="00CE2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7F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844CB" w:rsidRDefault="003844CB" w:rsidP="003844CB">
    <w:pPr>
      <w:pStyle w:val="bpuHeadSpon"/>
    </w:pPr>
    <w:r w:rsidRPr="003844CB">
      <w:rPr>
        <w:rStyle w:val="bpuHeadSponChar"/>
      </w:rPr>
      <w:t>A1081</w:t>
    </w:r>
    <w:r>
      <w:t xml:space="preserve"> SPEIGHT, MCKNIGHT</w:t>
    </w:r>
  </w:p>
  <w:p w:rsidR="003844CB" w:rsidRDefault="003844CB" w:rsidP="003844CB">
    <w:pPr>
      <w:pStyle w:val="bpuHeadSpon"/>
    </w:pPr>
    <w:r>
      <w:fldChar w:fldCharType="begin"/>
    </w:r>
    <w:r>
      <w:instrText xml:space="preserve"> PAGE  \* MERGEFORMAT </w:instrText>
    </w:r>
    <w:r>
      <w:fldChar w:fldCharType="separate"/>
    </w:r>
    <w:r w:rsidR="003A7F32">
      <w:rPr>
        <w:noProof/>
      </w:rPr>
      <w:t>5</w:t>
    </w:r>
    <w:r>
      <w:fldChar w:fldCharType="end"/>
    </w:r>
  </w:p>
  <w:p w:rsidR="003844CB" w:rsidRPr="00AF575C" w:rsidRDefault="003844CB" w:rsidP="003844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844CB" w:rsidRDefault="003844CB" w:rsidP="003844CB">
    <w:pPr>
      <w:pStyle w:val="bpuHeadSpon"/>
    </w:pPr>
    <w:r w:rsidRPr="003844CB">
      <w:rPr>
        <w:rStyle w:val="bpuHeadSponChar"/>
      </w:rPr>
      <w:t>A1081</w:t>
    </w:r>
    <w:r>
      <w:t xml:space="preserve"> SPEIGHT, MCKNIGHT</w:t>
    </w:r>
  </w:p>
  <w:p w:rsidR="003844CB" w:rsidRDefault="003844CB" w:rsidP="003844CB">
    <w:pPr>
      <w:pStyle w:val="bpuHeadSpon"/>
    </w:pPr>
    <w:r>
      <w:fldChar w:fldCharType="begin"/>
    </w:r>
    <w:r>
      <w:instrText xml:space="preserve"> PAGE  \* MERGEFORMAT </w:instrText>
    </w:r>
    <w:r>
      <w:fldChar w:fldCharType="separate"/>
    </w:r>
    <w:r w:rsidR="003A7F32">
      <w:rPr>
        <w:noProof/>
      </w:rPr>
      <w:t>2</w:t>
    </w:r>
    <w:r>
      <w:fldChar w:fldCharType="end"/>
    </w:r>
  </w:p>
  <w:p w:rsidR="003844CB" w:rsidRDefault="003844CB" w:rsidP="003844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8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D7F26"/>
    <w:rsid w:val="001E4DBB"/>
    <w:rsid w:val="001F6719"/>
    <w:rsid w:val="001F6DA6"/>
    <w:rsid w:val="00214614"/>
    <w:rsid w:val="0022067D"/>
    <w:rsid w:val="00231838"/>
    <w:rsid w:val="00232C5B"/>
    <w:rsid w:val="002373F3"/>
    <w:rsid w:val="002376AD"/>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4CB"/>
    <w:rsid w:val="0038486B"/>
    <w:rsid w:val="003941E5"/>
    <w:rsid w:val="003A19B9"/>
    <w:rsid w:val="003A213D"/>
    <w:rsid w:val="003A6172"/>
    <w:rsid w:val="003A7F32"/>
    <w:rsid w:val="003B7F50"/>
    <w:rsid w:val="003C32D1"/>
    <w:rsid w:val="003C6FBF"/>
    <w:rsid w:val="003D2B0D"/>
    <w:rsid w:val="003D6256"/>
    <w:rsid w:val="003E3338"/>
    <w:rsid w:val="003E7B4E"/>
    <w:rsid w:val="003F145F"/>
    <w:rsid w:val="003F4A22"/>
    <w:rsid w:val="00403D76"/>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1EA9"/>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0B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DD2"/>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4C5"/>
    <w:rsid w:val="00841F07"/>
    <w:rsid w:val="008462AA"/>
    <w:rsid w:val="00846D3E"/>
    <w:rsid w:val="0084725C"/>
    <w:rsid w:val="008627AA"/>
    <w:rsid w:val="008628FF"/>
    <w:rsid w:val="00867FC7"/>
    <w:rsid w:val="00874609"/>
    <w:rsid w:val="0087660A"/>
    <w:rsid w:val="008823BC"/>
    <w:rsid w:val="008859B3"/>
    <w:rsid w:val="008A2E5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C30"/>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289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763B"/>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BA17612-EB62-4B29-AF7B-0E572940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ronterpagebillhead">
    <w:name w:val="fronterpagebillhead"/>
    <w:rsid w:val="001D7F26"/>
    <w:rPr>
      <w:rFonts w:ascii="Times New Roman" w:hAnsi="Times New Roman"/>
      <w:smallCaps/>
      <w:sz w:val="24"/>
      <w:szCs w:val="24"/>
    </w:rPr>
  </w:style>
  <w:style w:type="paragraph" w:customStyle="1" w:styleId="FPHangingAnAct">
    <w:name w:val="FPHangingAnAct"/>
    <w:basedOn w:val="Normal"/>
    <w:next w:val="Normal"/>
    <w:link w:val="FPHangingAnActChar"/>
    <w:rsid w:val="001D7F26"/>
    <w:pPr>
      <w:spacing w:line="240" w:lineRule="auto"/>
      <w:ind w:left="576" w:hanging="288"/>
    </w:pPr>
  </w:style>
  <w:style w:type="character" w:customStyle="1" w:styleId="FPHangingAnActChar">
    <w:name w:val="FPHangingAnAct Char"/>
    <w:link w:val="FPHangingAnAct"/>
    <w:rsid w:val="001D7F26"/>
    <w:rPr>
      <w:spacing w:val="4"/>
      <w:sz w:val="24"/>
      <w:szCs w:val="24"/>
    </w:rPr>
  </w:style>
  <w:style w:type="character" w:styleId="LineNumber">
    <w:name w:val="line number"/>
    <w:basedOn w:val="DefaultParagraphFont"/>
    <w:semiHidden/>
    <w:unhideWhenUsed/>
    <w:rsid w:val="003844CB"/>
  </w:style>
  <w:style w:type="paragraph" w:styleId="BalloonText">
    <w:name w:val="Balloon Text"/>
    <w:basedOn w:val="Normal"/>
    <w:link w:val="BalloonTextChar"/>
    <w:semiHidden/>
    <w:unhideWhenUsed/>
    <w:rsid w:val="003A61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617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1781FB-9D12-447C-8AF2-B3C150130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1369</Words>
  <Characters>7683</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A1081</vt:lpstr>
    </vt:vector>
  </TitlesOfParts>
  <Manager>R56</Manager>
  <Company>OFFICE of LEGISLATIVE SERVICES</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A1081</dc:title>
  <dc:creator>Assemblywoman  SPEIGHT, Assemblywoman  MCKNIGHT</dc:creator>
  <cp:keywords>A1081|5|SG |76|0|0|!|0|</cp:keywords>
  <dc:description>PREFILED 2020</dc:description>
  <cp:lastModifiedBy>Puleo, Roseanne</cp:lastModifiedBy>
  <cp:revision>2</cp:revision>
  <cp:lastPrinted>2020-02-06T16:33:00Z</cp:lastPrinted>
  <dcterms:created xsi:type="dcterms:W3CDTF">2020-02-06T16:34:00Z</dcterms:created>
  <dcterms:modified xsi:type="dcterms:W3CDTF">2020-02-06T16:34:00Z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