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3CE" w:rsidRDefault="00C423CE" w:rsidP="00C423CE">
      <w:pPr>
        <w:pStyle w:val="bpuBill"/>
      </w:pPr>
      <w:bookmarkStart w:id="0" w:name="bpuFrontPg"/>
      <w:bookmarkStart w:id="1" w:name="_GoBack"/>
      <w:bookmarkEnd w:id="0"/>
      <w:bookmarkEnd w:id="1"/>
      <w:r>
        <w:t xml:space="preserve">ASSEMBLY, No. 1165 </w:t>
      </w:r>
    </w:p>
    <w:p w:rsidR="00C423CE" w:rsidRPr="00C423CE" w:rsidRDefault="00C423CE" w:rsidP="00C423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251" r:id="rId8"/>
        </w:object>
      </w:r>
    </w:p>
    <w:p w:rsidR="00C423CE" w:rsidRDefault="00C423CE" w:rsidP="00C423CE">
      <w:pPr>
        <w:pStyle w:val="bpuState"/>
      </w:pPr>
      <w:r>
        <w:t>STATE OF NEW JERSEY</w:t>
      </w:r>
    </w:p>
    <w:p w:rsidR="00C423CE" w:rsidRDefault="00C423CE" w:rsidP="00C423CE">
      <w:pPr>
        <w:pStyle w:val="bpuLegislature"/>
      </w:pPr>
      <w:r>
        <w:t>219th LEGISLATURE</w:t>
      </w:r>
    </w:p>
    <w:p w:rsidR="00C423CE" w:rsidRDefault="00C423CE" w:rsidP="00C423CE">
      <w:pPr>
        <w:pStyle w:val="bpuWpGraphic"/>
      </w:pPr>
      <w:r>
        <w:object w:dxaOrig="8985" w:dyaOrig="255">
          <v:shape id="_x0000_i1026" type="#_x0000_t75" style="width:6in;height:12pt" o:ole="">
            <v:imagedata r:id="rId7" o:title=""/>
          </v:shape>
          <o:OLEObject Type="Embed" ProgID="WPWin6.1" ShapeID="_x0000_i1026" DrawAspect="Content" ObjectID="_1639820252" r:id="rId9"/>
        </w:object>
      </w:r>
      <w:r>
        <w:t xml:space="preserve">  </w:t>
      </w:r>
    </w:p>
    <w:p w:rsidR="00C423CE" w:rsidRDefault="00C423CE" w:rsidP="00C423CE">
      <w:pPr>
        <w:pStyle w:val="bpuIntro"/>
      </w:pPr>
      <w:r>
        <w:t>PRE-FILED FOR INTRODUCTION IN THE 2020 SESSION</w:t>
      </w:r>
    </w:p>
    <w:p w:rsidR="00C423CE" w:rsidRDefault="00C423CE" w:rsidP="00C423CE">
      <w:pPr>
        <w:pStyle w:val="bpuIntro"/>
      </w:pPr>
    </w:p>
    <w:p w:rsidR="00C423CE" w:rsidRDefault="00C423CE" w:rsidP="00C423CE">
      <w:pPr>
        <w:pStyle w:val="bpuIntro"/>
        <w:sectPr w:rsidR="00C423CE" w:rsidSect="00C423CE">
          <w:headerReference w:type="even" r:id="rId10"/>
          <w:headerReference w:type="default" r:id="rId11"/>
          <w:pgSz w:w="12240" w:h="20160" w:code="5"/>
          <w:pgMar w:top="2160" w:right="1440" w:bottom="1440" w:left="1440" w:header="720" w:footer="720" w:gutter="0"/>
          <w:pgNumType w:start="1"/>
          <w:cols w:space="720"/>
          <w:docGrid w:linePitch="360"/>
        </w:sectPr>
      </w:pPr>
    </w:p>
    <w:p w:rsidR="00C423CE" w:rsidRDefault="00C423CE" w:rsidP="00C423CE">
      <w:pPr>
        <w:pStyle w:val="bpuIntro"/>
      </w:pPr>
    </w:p>
    <w:p w:rsidR="00C423CE" w:rsidRDefault="00C423CE" w:rsidP="00C423CE">
      <w:pPr>
        <w:pStyle w:val="bpuSponsor"/>
      </w:pPr>
      <w:r>
        <w:t>Sponsored by:</w:t>
      </w:r>
    </w:p>
    <w:p w:rsidR="00C423CE" w:rsidRDefault="00C423CE" w:rsidP="00C423CE">
      <w:pPr>
        <w:pStyle w:val="bpuSponsor"/>
      </w:pPr>
      <w:r>
        <w:t>Assemblyman  ROY FREIMAN</w:t>
      </w:r>
    </w:p>
    <w:p w:rsidR="00C423CE" w:rsidRDefault="00C423CE" w:rsidP="00C423CE">
      <w:pPr>
        <w:pStyle w:val="bpuSponsor"/>
      </w:pPr>
      <w:r>
        <w:t>District 16 (Hunterdon, Mercer, Middlesex and Somerset)</w:t>
      </w:r>
    </w:p>
    <w:p w:rsidR="00C423CE" w:rsidRDefault="00C423CE" w:rsidP="00C423CE">
      <w:pPr>
        <w:pStyle w:val="bpuSponsor"/>
      </w:pPr>
      <w:r>
        <w:t>Assemblyman  JOHN ARMATO</w:t>
      </w:r>
    </w:p>
    <w:p w:rsidR="00C423CE" w:rsidRDefault="00C423CE" w:rsidP="00C423CE">
      <w:pPr>
        <w:pStyle w:val="bpuSponsor"/>
      </w:pPr>
      <w:r>
        <w:t>District 2 (Atlantic)</w:t>
      </w:r>
    </w:p>
    <w:p w:rsidR="00C423CE" w:rsidRDefault="00C423CE" w:rsidP="00C423CE">
      <w:pPr>
        <w:pStyle w:val="bpuSponsor"/>
      </w:pPr>
      <w:r>
        <w:t>Assemblywoman  ELIANA PINTOR MARIN</w:t>
      </w:r>
    </w:p>
    <w:p w:rsidR="00C423CE" w:rsidRDefault="00C423CE" w:rsidP="00C423CE">
      <w:pPr>
        <w:pStyle w:val="bpuSponsor"/>
      </w:pPr>
      <w:r>
        <w:t>District 29 (Essex)</w:t>
      </w:r>
    </w:p>
    <w:p w:rsidR="00C423CE" w:rsidRDefault="00C423CE" w:rsidP="00C423CE">
      <w:pPr>
        <w:pStyle w:val="bpuSponsor"/>
      </w:pPr>
    </w:p>
    <w:p w:rsidR="00C423CE" w:rsidRDefault="00C423CE" w:rsidP="00C423CE">
      <w:pPr>
        <w:pStyle w:val="bpuSponsor"/>
      </w:pPr>
      <w:r>
        <w:t>Co-Sponsored by:</w:t>
      </w:r>
    </w:p>
    <w:p w:rsidR="00C423CE" w:rsidRPr="00C423CE" w:rsidRDefault="00C423CE" w:rsidP="00C423CE">
      <w:pPr>
        <w:pStyle w:val="bpuSponsor"/>
      </w:pPr>
      <w:r w:rsidRPr="00C423CE">
        <w:t xml:space="preserve">Assemblyman </w:t>
      </w:r>
      <w:proofErr w:type="spellStart"/>
      <w:r w:rsidRPr="00C423CE">
        <w:t>DePhillips</w:t>
      </w:r>
      <w:proofErr w:type="spellEnd"/>
      <w:r w:rsidRPr="00C423CE">
        <w:t xml:space="preserve">, Assemblywomen Carter and </w:t>
      </w:r>
      <w:proofErr w:type="spellStart"/>
      <w:r w:rsidRPr="00C423CE">
        <w:t>B.DeCroce</w:t>
      </w:r>
      <w:proofErr w:type="spellEnd"/>
    </w:p>
    <w:p w:rsidR="00C423CE" w:rsidRDefault="00C423CE" w:rsidP="00C423CE">
      <w:pPr>
        <w:pStyle w:val="bpuSponsor"/>
      </w:pPr>
    </w:p>
    <w:p w:rsidR="00C423CE" w:rsidRDefault="00C423CE" w:rsidP="00C423CE"/>
    <w:p w:rsidR="00C423CE" w:rsidRPr="00C423CE" w:rsidRDefault="00C423CE" w:rsidP="00C423CE"/>
    <w:p w:rsidR="00C423CE" w:rsidRDefault="00C423CE" w:rsidP="00C423CE">
      <w:pPr>
        <w:pStyle w:val="bpuSponsor"/>
      </w:pPr>
    </w:p>
    <w:p w:rsidR="00C423CE" w:rsidRDefault="00C423CE" w:rsidP="00C423CE">
      <w:pPr>
        <w:pStyle w:val="bpuSponsor"/>
      </w:pPr>
      <w:r>
        <w:t>SYNOPSIS</w:t>
      </w:r>
    </w:p>
    <w:p w:rsidR="00C423CE" w:rsidRDefault="00C423CE" w:rsidP="00C423CE">
      <w:pPr>
        <w:pStyle w:val="bpuNormText"/>
      </w:pPr>
      <w:r>
        <w:tab/>
        <w:t xml:space="preserve">Allows taxpayers to deduct cost of certain depreciable assets under corporation business and gross income taxes. </w:t>
      </w:r>
    </w:p>
    <w:p w:rsidR="00C423CE" w:rsidRDefault="00C423CE" w:rsidP="00C423CE">
      <w:pPr>
        <w:pStyle w:val="bpuNormText"/>
      </w:pPr>
    </w:p>
    <w:p w:rsidR="00C423CE" w:rsidRDefault="00C423CE" w:rsidP="00C423CE">
      <w:pPr>
        <w:pStyle w:val="bpuSponsor"/>
      </w:pPr>
      <w:r>
        <w:t xml:space="preserve">CURRENT VERSION OF TEXT </w:t>
      </w:r>
    </w:p>
    <w:p w:rsidR="00C423CE" w:rsidRDefault="00C423CE" w:rsidP="00C423CE">
      <w:pPr>
        <w:pStyle w:val="bpuNormText"/>
      </w:pPr>
      <w:r>
        <w:tab/>
        <w:t>Introduced Pending Technical Review by Legislative Counsel.</w:t>
      </w:r>
    </w:p>
    <w:p w:rsidR="00C423CE" w:rsidRDefault="00C423CE" w:rsidP="00C423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23CE" w:rsidRDefault="00C423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23CE" w:rsidSect="00C423CE">
          <w:type w:val="continuous"/>
          <w:pgSz w:w="12240" w:h="20160" w:code="5"/>
          <w:pgMar w:top="2160" w:right="2275" w:bottom="1440" w:left="2275" w:header="72" w:footer="720" w:gutter="0"/>
          <w:pgNumType w:start="1"/>
          <w:cols w:space="720"/>
          <w:docGrid w:linePitch="360"/>
        </w:sectPr>
      </w:pPr>
    </w:p>
    <w:p w:rsidR="00DC6CC0" w:rsidRPr="00677316" w:rsidRDefault="00DC6CC0" w:rsidP="00DC6CC0">
      <w:pPr>
        <w:pStyle w:val="HangingAnAct"/>
        <w:rPr>
          <w:rStyle w:val="HangingAnActChar"/>
        </w:rPr>
      </w:pPr>
      <w:r w:rsidRPr="00DC6CC0">
        <w:rPr>
          <w:rStyle w:val="BillHead"/>
        </w:rPr>
        <w:lastRenderedPageBreak/>
        <w:t>An Act</w:t>
      </w:r>
      <w:r w:rsidRPr="006B7FA7">
        <w:rPr>
          <w:rStyle w:val="HangingAnActChar"/>
        </w:rPr>
        <w:t xml:space="preserve"> </w:t>
      </w:r>
      <w:r>
        <w:t xml:space="preserve">allowing taxpayers to deduct cost of certain depreciable assets under corporation business and gross income taxes, amending P.L.1945, c.162 and P.L.2004, c.65. </w:t>
      </w:r>
    </w:p>
    <w:p w:rsidR="00DC6CC0" w:rsidRPr="00D71D68" w:rsidRDefault="00DC6CC0" w:rsidP="00DC6CC0"/>
    <w:p w:rsidR="00DC6CC0" w:rsidRPr="00AA7880" w:rsidRDefault="00DC6CC0" w:rsidP="00DC6CC0">
      <w:r>
        <w:tab/>
      </w:r>
      <w:r>
        <w:rPr>
          <w:rStyle w:val="BillHeading2"/>
        </w:rPr>
        <w:t xml:space="preserve">Be It Enacted </w:t>
      </w:r>
      <w:r>
        <w:rPr>
          <w:rStyle w:val="BillLanguage"/>
        </w:rPr>
        <w:t>by the Senate and General Assembly of the State of New Jersey:</w:t>
      </w:r>
    </w:p>
    <w:p w:rsidR="00DC6CC0" w:rsidRDefault="00DC6CC0" w:rsidP="00DC6CC0"/>
    <w:p w:rsidR="00DC6CC0" w:rsidRDefault="00DC6CC0" w:rsidP="00DC6CC0">
      <w:r>
        <w:tab/>
        <w:t>1.</w:t>
      </w:r>
      <w:r>
        <w:tab/>
        <w:t>Section 4 of P.L.1945, c.162 (C.54:10A-4) is amended to read as follows:</w:t>
      </w:r>
    </w:p>
    <w:p w:rsidR="00DC6CC0" w:rsidRDefault="00DC6CC0" w:rsidP="00DC6CC0">
      <w:r>
        <w:tab/>
        <w:t>4.</w:t>
      </w:r>
      <w:r>
        <w:tab/>
        <w:t>For the purposes of this act, unless the context requires a different meaning:</w:t>
      </w:r>
    </w:p>
    <w:p w:rsidR="00DC6CC0" w:rsidRDefault="00DC6CC0" w:rsidP="00DC6CC0">
      <w:r>
        <w:tab/>
        <w:t>(a)</w:t>
      </w:r>
      <w:r>
        <w:tab/>
        <w:t>"Commissioner" or "director" shall mean the Director of the Division of Taxation of the State Department of the Treasury.</w:t>
      </w:r>
    </w:p>
    <w:p w:rsidR="00DC6CC0" w:rsidRDefault="00DC6CC0" w:rsidP="00DC6CC0">
      <w:r>
        <w:tab/>
        <w:t>(b)</w:t>
      </w:r>
      <w:r>
        <w:tab/>
        <w:t>"Allocation factor" shall mean the proportionate part of a taxpayer's net worth or entire net income used to determine a measure of its tax under this act.</w:t>
      </w:r>
    </w:p>
    <w:p w:rsidR="00DC6CC0" w:rsidRDefault="00DC6CC0" w:rsidP="00DC6CC0">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DC6CC0" w:rsidRDefault="00DC6CC0" w:rsidP="00DC6CC0">
      <w:r>
        <w:tab/>
        <w:t>(d)</w:t>
      </w:r>
      <w:r>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w:t>
      </w:r>
      <w:r>
        <w:lastRenderedPageBreak/>
        <w:t>(but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DC6CC0" w:rsidRDefault="00DC6CC0" w:rsidP="00DC6CC0">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DC6CC0" w:rsidRDefault="00DC6CC0" w:rsidP="00DC6CC0">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DC6CC0" w:rsidRDefault="00DC6CC0" w:rsidP="00DC6CC0">
      <w:r>
        <w:tab/>
        <w:t>(e)</w:t>
      </w:r>
      <w:r>
        <w:tab/>
        <w:t>(Deleted by amendment, P.L.1998, c.114.)</w:t>
      </w:r>
    </w:p>
    <w:p w:rsidR="00DC6CC0" w:rsidRDefault="00DC6CC0" w:rsidP="00DC6CC0">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DC6CC0" w:rsidRDefault="00DC6CC0" w:rsidP="00DC6CC0">
      <w:r>
        <w:tab/>
        <w:t>(g)</w:t>
      </w:r>
      <w:r>
        <w:tab/>
        <w:t>"Regulated investment company" shall mean any corporation which for a period covered by its report, is registered and regulated under the Investment Company Act of 1940 (54 Stat. 789), as amended.</w:t>
      </w:r>
    </w:p>
    <w:p w:rsidR="00DC6CC0" w:rsidRDefault="00DC6CC0" w:rsidP="00DC6CC0">
      <w:r>
        <w:tab/>
        <w:t>(h)</w:t>
      </w:r>
      <w:r>
        <w:tab/>
        <w:t xml:space="preserve">"Taxpayer" shall mean any corporation, and any partnership required, or consenting, to report or to pay taxes, interest or penalties under this act. "Taxpayer" shall not include a partnership that is listed on a United States national stock exchange. </w:t>
      </w:r>
    </w:p>
    <w:p w:rsidR="00DC6CC0" w:rsidRDefault="00DC6CC0" w:rsidP="00DC6CC0">
      <w:r>
        <w:tab/>
        <w:t>(</w:t>
      </w:r>
      <w:proofErr w:type="spellStart"/>
      <w:r>
        <w:t>i</w:t>
      </w:r>
      <w:proofErr w:type="spellEnd"/>
      <w:r>
        <w:t>)</w:t>
      </w:r>
      <w:r>
        <w:tab/>
        <w:t>"Fiscal year" shall mean an accounting period ending on any day other than the last day of December on the basis of which the taxpayer is required to report for federal income tax purposes.</w:t>
      </w:r>
    </w:p>
    <w:p w:rsidR="00DC6CC0" w:rsidRDefault="00DC6CC0" w:rsidP="00DC6CC0">
      <w:r>
        <w:lastRenderedPageBreak/>
        <w:tab/>
        <w:t>(j)</w:t>
      </w:r>
      <w:r>
        <w:tab/>
        <w:t>Except as herein provided, "privilege period" shall mean the calendar or fiscal accounting period for which a tax is payable under this act.</w:t>
      </w:r>
    </w:p>
    <w:p w:rsidR="00DC6CC0" w:rsidRPr="007B771C" w:rsidRDefault="00DC6CC0" w:rsidP="00DC6CC0">
      <w:r w:rsidRPr="002B2A88">
        <w:rPr>
          <w:b/>
        </w:rPr>
        <w:tab/>
      </w:r>
      <w:r w:rsidRPr="007B771C">
        <w:t>(k)</w:t>
      </w:r>
      <w:r w:rsidRPr="007B771C">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DC6CC0" w:rsidRDefault="00DC6CC0" w:rsidP="00DC6CC0">
      <w:r w:rsidRPr="007B771C">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w:t>
      </w:r>
      <w:r w:rsidRPr="002B2A88">
        <w:rPr>
          <w:b/>
        </w:rPr>
        <w:t xml:space="preserve"> </w:t>
      </w:r>
      <w:r>
        <w:t>however, that in the determination of such entire net income,</w:t>
      </w:r>
    </w:p>
    <w:p w:rsidR="00DC6CC0" w:rsidRDefault="00DC6CC0" w:rsidP="00DC6CC0">
      <w:r>
        <w:tab/>
        <w:t>(1)</w:t>
      </w:r>
      <w:r>
        <w:tab/>
      </w:r>
      <w:r w:rsidRPr="007B771C">
        <w:t>Entire net income shall exclude</w:t>
      </w:r>
      <w:r>
        <w:t xml:space="preserv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DC6CC0" w:rsidRPr="002B2A88" w:rsidRDefault="00DC6CC0" w:rsidP="00DC6CC0">
      <w:pPr>
        <w:rPr>
          <w:b/>
        </w:rPr>
      </w:pPr>
      <w:r>
        <w:tab/>
        <w:t>(2)</w:t>
      </w:r>
      <w:r w:rsidRPr="002B2A88">
        <w:rPr>
          <w:b/>
        </w:rPr>
        <w:tab/>
      </w:r>
      <w:r w:rsidRPr="007B771C">
        <w:t>Entire net income shall be determined without the exclusion, deduction or credit of:</w:t>
      </w:r>
    </w:p>
    <w:p w:rsidR="00DC6CC0" w:rsidRDefault="00DC6CC0" w:rsidP="00DC6CC0">
      <w:r>
        <w:tab/>
        <w:t>(A)</w:t>
      </w:r>
      <w:r>
        <w:tab/>
        <w:t>The amount of any exemption or credit allowed in any law of the United States imposing any tax on or measured by the income of corporations.</w:t>
      </w:r>
    </w:p>
    <w:p w:rsidR="00DC6CC0" w:rsidRDefault="00DC6CC0" w:rsidP="00DC6CC0">
      <w:r>
        <w:tab/>
        <w:t>(B)</w:t>
      </w:r>
      <w:r>
        <w:tab/>
        <w:t>Any part of any income from dividends or interest on any kind of stock, securities or indebtedness, except as provided in paragraph (5) of subsection (k) of this section.</w:t>
      </w:r>
    </w:p>
    <w:p w:rsidR="00DC6CC0" w:rsidRDefault="00DC6CC0" w:rsidP="00DC6CC0">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DC6CC0" w:rsidRDefault="00DC6CC0" w:rsidP="00DC6CC0">
      <w:r>
        <w:tab/>
        <w:t>(D)</w:t>
      </w:r>
      <w:r>
        <w:tab/>
        <w:t>(Deleted by amendment, P.L.1985, c.143.)</w:t>
      </w:r>
    </w:p>
    <w:p w:rsidR="00DC6CC0" w:rsidRDefault="00DC6CC0" w:rsidP="00DC6CC0">
      <w:r>
        <w:tab/>
        <w:t>(E)</w:t>
      </w:r>
      <w:r>
        <w:tab/>
        <w:t>(Deleted by amendment, P.L.1995, c.418.)</w:t>
      </w:r>
    </w:p>
    <w:p w:rsidR="00DC6CC0" w:rsidRDefault="00194197" w:rsidP="00DC6CC0">
      <w:r>
        <w:tab/>
        <w:t>(F)</w:t>
      </w:r>
      <w:r>
        <w:tab/>
      </w:r>
      <w:r w:rsidR="00DC6CC0">
        <w:t>(</w:t>
      </w:r>
      <w:proofErr w:type="spellStart"/>
      <w:r w:rsidR="00DC6CC0">
        <w:t>i</w:t>
      </w:r>
      <w:proofErr w:type="spellEnd"/>
      <w:r w:rsidR="00DC6CC0">
        <w:t>)</w:t>
      </w:r>
      <w:r>
        <w:t xml:space="preserve"> </w:t>
      </w:r>
      <w:r w:rsidR="00DC6CC0">
        <w:t xml:space="preserve">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rsidR="00DC6CC0">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DC6CC0" w:rsidRDefault="00DC6CC0" w:rsidP="00DC6CC0">
      <w:r>
        <w:tab/>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DC6CC0" w:rsidRDefault="00DC6CC0" w:rsidP="00DC6CC0">
      <w:r>
        <w:tab/>
        <w:t>The director shall promulgate rules and regulations necessary to carry out the provisions of this section, which rules shall provide, among others, the manner in which the remaining life of property shall be reported.</w:t>
      </w:r>
    </w:p>
    <w:p w:rsidR="00DC6CC0" w:rsidRDefault="00194197" w:rsidP="00DC6CC0">
      <w:r>
        <w:tab/>
        <w:t>(G)</w:t>
      </w:r>
      <w:r>
        <w:tab/>
      </w:r>
      <w:r w:rsidR="00DC6CC0">
        <w:t>(</w:t>
      </w:r>
      <w:proofErr w:type="spellStart"/>
      <w:r w:rsidR="00DC6CC0">
        <w:t>i</w:t>
      </w:r>
      <w:proofErr w:type="spellEnd"/>
      <w:r w:rsidR="00DC6CC0">
        <w:t>)</w:t>
      </w:r>
      <w:r>
        <w:t xml:space="preserve"> </w:t>
      </w:r>
      <w:r w:rsidR="00DC6CC0">
        <w:t xml:space="preserve">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DC6CC0" w:rsidRDefault="00DC6CC0" w:rsidP="00DC6CC0">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DC6CC0" w:rsidRDefault="00DC6CC0" w:rsidP="00DC6CC0">
      <w:r>
        <w:lastRenderedPageBreak/>
        <w:tab/>
        <w:t>(H)</w:t>
      </w:r>
      <w:r>
        <w:tab/>
        <w:t>The amount of any sales and use tax paid by a utility vendor pursuant to section 71 of P.L.1997, c.162.</w:t>
      </w:r>
    </w:p>
    <w:p w:rsidR="00DC6CC0" w:rsidRDefault="00DC6CC0" w:rsidP="00DC6CC0">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DC6CC0" w:rsidRDefault="00DC6CC0" w:rsidP="00DC6CC0">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DC6CC0" w:rsidRDefault="00DC6CC0" w:rsidP="00DC6CC0">
      <w:r>
        <w:tab/>
        <w:t>A deduction shall also be permitted to the extent that the taxpayer establishes by a preponderance of the evidence, as determined by the director, that the interest is directly or indirectly paid, accrued or incurred to (</w:t>
      </w:r>
      <w:proofErr w:type="spellStart"/>
      <w:r>
        <w:t>i</w:t>
      </w:r>
      <w:proofErr w:type="spellEnd"/>
      <w:r>
        <w:t xml:space="preserve">)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DC6CC0" w:rsidRDefault="00194197" w:rsidP="00DC6CC0">
      <w:r>
        <w:lastRenderedPageBreak/>
        <w:tab/>
        <w:t>(J)</w:t>
      </w:r>
      <w:r>
        <w:tab/>
      </w:r>
      <w:r w:rsidR="00DC6CC0">
        <w:t>(</w:t>
      </w:r>
      <w:proofErr w:type="spellStart"/>
      <w:r w:rsidR="00DC6CC0">
        <w:t>i</w:t>
      </w:r>
      <w:proofErr w:type="spellEnd"/>
      <w:r w:rsidR="00DC6CC0">
        <w:t>)</w:t>
      </w:r>
      <w:r>
        <w:t xml:space="preserve"> </w:t>
      </w:r>
      <w:r w:rsidR="00DC6CC0">
        <w:t xml:space="preserve">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DC6CC0" w:rsidRDefault="00DC6CC0" w:rsidP="00DC6CC0">
      <w:r>
        <w:tab/>
        <w:t>(ii)</w:t>
      </w:r>
      <w:r>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
    <w:p w:rsidR="00DC6CC0" w:rsidRDefault="00DC6CC0" w:rsidP="00DC6CC0">
      <w:r>
        <w:tab/>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DC6CC0" w:rsidRDefault="00DC6CC0" w:rsidP="00DC6CC0">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DC6CC0" w:rsidRDefault="00DC6CC0" w:rsidP="00DC6CC0">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DC6CC0" w:rsidRDefault="00DC6CC0" w:rsidP="00DC6CC0">
      <w:r>
        <w:tab/>
        <w:t>(A)</w:t>
      </w:r>
      <w:r>
        <w:tab/>
        <w:t>The eligible net income of an international banking facility shall be the amount remaining after subtracting from the eligible gross income the applicable expenses;</w:t>
      </w:r>
    </w:p>
    <w:p w:rsidR="00DC6CC0" w:rsidRDefault="00DC6CC0" w:rsidP="00DC6CC0">
      <w:r>
        <w:tab/>
        <w:t>(B)</w:t>
      </w:r>
      <w:r>
        <w:tab/>
        <w:t>Eligible gross income shall be the gross income derived by an international banking facility, which shall include, but not be limited to, gross income derived from:</w:t>
      </w:r>
    </w:p>
    <w:p w:rsidR="00DC6CC0" w:rsidRDefault="00DC6CC0" w:rsidP="00DC6CC0">
      <w:r>
        <w:lastRenderedPageBreak/>
        <w:tab/>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DC6CC0" w:rsidRDefault="00DC6CC0" w:rsidP="00DC6CC0">
      <w:r>
        <w:tab/>
        <w:t>(ii)</w:t>
      </w:r>
      <w:r>
        <w:tab/>
        <w:t>Making or placing deposits with foreign persons which are banks or foreign branches of banks (including foreign subsidiaries) or foreign branches of the taxpayers or with other international banking facilities;</w:t>
      </w:r>
    </w:p>
    <w:p w:rsidR="00DC6CC0" w:rsidRDefault="00DC6CC0" w:rsidP="00DC6CC0">
      <w:r>
        <w:tab/>
        <w:t>(iii) Entering into foreign exchange trading or hedging transactions related to any of the transactions described in this paragraph; or</w:t>
      </w:r>
    </w:p>
    <w:p w:rsidR="00DC6CC0" w:rsidRDefault="00DC6CC0" w:rsidP="00DC6CC0">
      <w:r>
        <w:tab/>
        <w:t>(iv)</w:t>
      </w:r>
      <w:r>
        <w:tab/>
        <w:t>Such other activities as an international banking facility may, from time to time, be authorized to engage in;</w:t>
      </w:r>
    </w:p>
    <w:p w:rsidR="00DC6CC0" w:rsidRDefault="00DC6CC0" w:rsidP="00DC6CC0">
      <w:r>
        <w:tab/>
        <w:t>(C)</w:t>
      </w:r>
      <w:r>
        <w:tab/>
        <w:t>Applicable expenses shall be any expense or other deductions attributable, directly or indirectly, to the eligible gross income described in subparagraph (B) of this paragraph.</w:t>
      </w:r>
    </w:p>
    <w:p w:rsidR="00DC6CC0" w:rsidRDefault="00194197" w:rsidP="00DC6CC0">
      <w:r>
        <w:tab/>
        <w:t>(5)</w:t>
      </w:r>
      <w:r>
        <w:tab/>
      </w:r>
      <w:r w:rsidR="00DC6CC0">
        <w:t xml:space="preserve">(A) </w:t>
      </w:r>
      <w:r>
        <w:t xml:space="preserve"> </w:t>
      </w:r>
      <w:r w:rsidR="00DC6CC0">
        <w:t>(</w:t>
      </w:r>
      <w:proofErr w:type="spellStart"/>
      <w:r w:rsidR="00DC6CC0">
        <w:t>i</w:t>
      </w:r>
      <w:proofErr w:type="spellEnd"/>
      <w:r w:rsidR="00DC6CC0">
        <w:t>)</w:t>
      </w:r>
      <w:r>
        <w:t xml:space="preserve"> </w:t>
      </w:r>
      <w:r w:rsidR="00DC6CC0">
        <w:t xml:space="preserve">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DC6CC0" w:rsidRDefault="00194197" w:rsidP="00DC6CC0">
      <w:r>
        <w:tab/>
        <w:t>(ii)</w:t>
      </w:r>
      <w:r>
        <w:tab/>
      </w:r>
      <w:r w:rsidR="00DC6CC0">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DC6CC0" w:rsidRDefault="00194197" w:rsidP="00DC6CC0">
      <w:r>
        <w:tab/>
        <w:t xml:space="preserve">(iii) </w:t>
      </w:r>
      <w:r w:rsidR="00DC6CC0">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DC6CC0" w:rsidRDefault="00DC6CC0" w:rsidP="00DC6CC0">
      <w:r>
        <w:tab/>
        <w:t>(B)</w:t>
      </w:r>
      <w:r>
        <w:tab/>
        <w:t xml:space="preserve">Entire net income shall exclude 50% of dividends which were included in computing such taxable income for federal income tax purposes, paid or deemed paid to the taxpayer by one or more subsidiaries owned by the taxpayer to the extent of 50% or more </w:t>
      </w:r>
      <w:r>
        <w:lastRenderedPageBreak/>
        <w:t>ownership of investment, such ownership of investment calculated in the same manner as the 80% or more of ownership of investment is calculated as described in subsection (d) of this section.</w:t>
      </w:r>
    </w:p>
    <w:p w:rsidR="00DC6CC0" w:rsidRDefault="00DC6CC0" w:rsidP="00DC6CC0">
      <w:r>
        <w:tab/>
        <w:t>(C)</w:t>
      </w:r>
      <w:r>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
    <w:p w:rsidR="00DC6CC0" w:rsidRDefault="00194197" w:rsidP="00DC6CC0">
      <w:r>
        <w:tab/>
        <w:t>(6)</w:t>
      </w:r>
      <w:r>
        <w:tab/>
      </w:r>
      <w:r w:rsidR="00DC6CC0">
        <w:t>(A) Net operating loss deduction. For privilege periods ending before July 31, 2019, there shall be allowed as a deduction for the privilege period the net operating loss carryover to that period.</w:t>
      </w:r>
    </w:p>
    <w:p w:rsidR="00DC6CC0" w:rsidRDefault="00DC6CC0" w:rsidP="00DC6CC0">
      <w:r>
        <w:tab/>
        <w:t>(B)</w:t>
      </w:r>
      <w:r>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DC6CC0" w:rsidRDefault="00DC6CC0" w:rsidP="00DC6CC0">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DC6CC0" w:rsidRDefault="00DC6CC0" w:rsidP="00DC6CC0">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DC6CC0" w:rsidRDefault="00DC6CC0" w:rsidP="00DC6CC0">
      <w:r>
        <w:tab/>
        <w:t>(E)</w:t>
      </w:r>
      <w:r>
        <w:tab/>
        <w:t xml:space="preserve">Notwithstanding the provisions of this paragraph (6) of subsection (k) of this section to the contrary, for privilege periods </w:t>
      </w:r>
      <w:r>
        <w:lastRenderedPageBreak/>
        <w:t>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DC6CC0" w:rsidRDefault="00DC6CC0" w:rsidP="00DC6CC0">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DC6CC0" w:rsidRDefault="00DC6CC0" w:rsidP="00DC6CC0">
      <w:r>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DC6CC0" w:rsidRDefault="00DC6CC0" w:rsidP="00DC6CC0">
      <w:r>
        <w:tab/>
        <w:t>(7)</w:t>
      </w:r>
      <w:r>
        <w:tab/>
        <w:t xml:space="preserve">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w:t>
      </w:r>
      <w:r>
        <w:lastRenderedPageBreak/>
        <w:t>the uniform system of accounts as promulgated by the Federal Energy Regulatory Commission and adopted by the Board of Public Utilities.  The following adjustments to entire net income shall be made pursuant to this section:</w:t>
      </w:r>
    </w:p>
    <w:p w:rsidR="00DC6CC0" w:rsidRDefault="00DC6CC0" w:rsidP="00DC6CC0">
      <w:r>
        <w:tab/>
        <w:t>(A)</w:t>
      </w:r>
      <w:r>
        <w:tab/>
        <w:t>Depreciation for property placed in service prior to January 1, 1998 shall be adjusted as follows:</w:t>
      </w:r>
    </w:p>
    <w:p w:rsidR="00DC6CC0" w:rsidRDefault="00DC6CC0" w:rsidP="00DC6CC0">
      <w:r>
        <w:tab/>
        <w:t>(</w:t>
      </w:r>
      <w:proofErr w:type="spellStart"/>
      <w:r>
        <w:t>i</w:t>
      </w:r>
      <w:proofErr w:type="spellEnd"/>
      <w:r>
        <w:t>)</w:t>
      </w:r>
      <w:r>
        <w:tab/>
        <w:t>Depreciation for federal income tax purposes shall be disallowed in full.</w:t>
      </w:r>
    </w:p>
    <w:p w:rsidR="00DC6CC0" w:rsidRDefault="00DC6CC0" w:rsidP="00DC6CC0">
      <w:r>
        <w:tab/>
        <w:t>(ii)</w:t>
      </w:r>
      <w:r>
        <w:tab/>
        <w:t>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 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DC6CC0" w:rsidRDefault="00DC6CC0" w:rsidP="00DC6CC0">
      <w:r>
        <w:tab/>
        <w:t>(B)</w:t>
      </w:r>
      <w:r>
        <w:tab/>
        <w:t>Gains and losses on sales, retirements and other dispositions of assets placed in service prior to January 1, 1998 shall be recognized and reported on the same basis as for federal income tax purposes.</w:t>
      </w:r>
    </w:p>
    <w:p w:rsidR="00DC6CC0" w:rsidRDefault="00DC6CC0" w:rsidP="00DC6CC0">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DC6CC0" w:rsidRDefault="00DC6CC0" w:rsidP="00DC6CC0">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DC6CC0" w:rsidRDefault="00DC6CC0" w:rsidP="00DC6CC0">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DC6CC0" w:rsidRDefault="00DC6CC0" w:rsidP="00DC6CC0">
      <w:r>
        <w:tab/>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w:t>
      </w:r>
      <w:r>
        <w:lastRenderedPageBreak/>
        <w:t>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DC6CC0" w:rsidRDefault="00DC6CC0" w:rsidP="00DC6CC0">
      <w:r>
        <w:tab/>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DC6CC0" w:rsidRDefault="00DC6CC0" w:rsidP="00DC6CC0">
      <w:r>
        <w:tab/>
        <w:t xml:space="preserve">(12) (A) </w:t>
      </w:r>
      <w:r w:rsidR="00353FDB">
        <w:t xml:space="preserve"> </w:t>
      </w:r>
      <w:r>
        <w:t>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DC6CC0" w:rsidRDefault="00DC6CC0" w:rsidP="00DC6CC0">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DC6CC0" w:rsidRDefault="00353FDB" w:rsidP="00DC6CC0">
      <w:r>
        <w:tab/>
        <w:t xml:space="preserve">(13) </w:t>
      </w:r>
      <w:r w:rsidR="00DC6CC0">
        <w:t>(A)</w:t>
      </w:r>
      <w:r>
        <w:t xml:space="preserve"> </w:t>
      </w:r>
      <w:r w:rsidR="00DC6CC0">
        <w:t xml:space="preserve"> </w:t>
      </w:r>
      <w:r w:rsidR="00DC6CC0" w:rsidRPr="00F8078E">
        <w:rPr>
          <w:rFonts w:ascii="Albertus Extra Bold" w:hAnsi="Albertus Extra Bold"/>
          <w:b/>
        </w:rPr>
        <w:t>[</w:t>
      </w:r>
      <w:r w:rsidR="00DC6CC0" w:rsidRPr="00EE408F">
        <w:t>Notwithstanding</w:t>
      </w:r>
      <w:r w:rsidR="00DC6CC0">
        <w:t xml:space="preserve"> the provisions of section 179 of the federal Internal Revenue Code of 1986, 26 U.S.C. s.179, for</w:t>
      </w:r>
      <w:r w:rsidR="00DC6CC0" w:rsidRPr="00F8078E">
        <w:rPr>
          <w:rFonts w:ascii="Albertus Extra Bold" w:hAnsi="Albertus Extra Bold"/>
          <w:b/>
        </w:rPr>
        <w:t>]</w:t>
      </w:r>
      <w:r w:rsidR="00DC6CC0">
        <w:t xml:space="preserve"> </w:t>
      </w:r>
      <w:r w:rsidR="00DC6CC0">
        <w:rPr>
          <w:u w:val="single"/>
        </w:rPr>
        <w:t xml:space="preserve">For </w:t>
      </w:r>
      <w:r w:rsidR="00DC6CC0" w:rsidRPr="00C84380">
        <w:rPr>
          <w:u w:val="single"/>
        </w:rPr>
        <w:t>section 179</w:t>
      </w:r>
      <w:r w:rsidR="00DC6CC0">
        <w:t xml:space="preserve"> property placed in service on or after </w:t>
      </w:r>
      <w:r w:rsidR="00DC6CC0" w:rsidRPr="00F8078E">
        <w:rPr>
          <w:rFonts w:ascii="Albertus Extra Bold" w:hAnsi="Albertus Extra Bold"/>
          <w:b/>
        </w:rPr>
        <w:t>[</w:t>
      </w:r>
      <w:r w:rsidR="00DC6CC0">
        <w:t>January 1, 2004</w:t>
      </w:r>
      <w:r w:rsidR="00DC6CC0" w:rsidRPr="00F8078E">
        <w:rPr>
          <w:rFonts w:ascii="Albertus Extra Bold" w:hAnsi="Albertus Extra Bold"/>
          <w:b/>
        </w:rPr>
        <w:t>]</w:t>
      </w:r>
      <w:r w:rsidR="00DC6CC0">
        <w:t xml:space="preserve"> </w:t>
      </w:r>
      <w:r w:rsidR="00DC6CC0">
        <w:rPr>
          <w:u w:val="single"/>
        </w:rPr>
        <w:t>January 1, 2020</w:t>
      </w:r>
      <w:r w:rsidR="00DC6CC0">
        <w:t xml:space="preserve">,  </w:t>
      </w:r>
      <w:r w:rsidR="00DC6CC0" w:rsidRPr="00F8078E">
        <w:t>the</w:t>
      </w:r>
      <w:r w:rsidR="00DC6CC0">
        <w:t xml:space="preserve"> costs that a taxpayer may </w:t>
      </w:r>
      <w:r w:rsidR="00DC6CC0" w:rsidRPr="00F8078E">
        <w:rPr>
          <w:rFonts w:ascii="Albertus Extra Bold" w:hAnsi="Albertus Extra Bold"/>
          <w:b/>
        </w:rPr>
        <w:t>[</w:t>
      </w:r>
      <w:r w:rsidR="00DC6CC0">
        <w:t>otherwise</w:t>
      </w:r>
      <w:r w:rsidR="00DC6CC0" w:rsidRPr="00F8078E">
        <w:rPr>
          <w:rFonts w:ascii="Albertus Extra Bold" w:hAnsi="Albertus Extra Bold"/>
          <w:b/>
        </w:rPr>
        <w:t>]</w:t>
      </w:r>
      <w:r w:rsidR="00DC6CC0">
        <w:t xml:space="preserve"> elect to treat as an expense which is not chargeable to a capital account shall be determined pursuant to the provisions of </w:t>
      </w:r>
      <w:r w:rsidR="00DC6CC0">
        <w:rPr>
          <w:u w:val="single"/>
        </w:rPr>
        <w:t>section 179 of</w:t>
      </w:r>
      <w:r w:rsidR="00DC6CC0" w:rsidRPr="00F8078E">
        <w:t xml:space="preserve"> </w:t>
      </w:r>
      <w:r w:rsidR="00DC6CC0">
        <w:t xml:space="preserve">the federal Internal Revenue Code </w:t>
      </w:r>
      <w:r w:rsidR="00DC6CC0" w:rsidRPr="00F8078E">
        <w:rPr>
          <w:rFonts w:ascii="Albertus Extra Bold" w:hAnsi="Albertus Extra Bold"/>
          <w:b/>
        </w:rPr>
        <w:t>[</w:t>
      </w:r>
      <w:r w:rsidR="00DC6CC0">
        <w:t>of 1986 (26 U.S.C. s.1 et seq.) in effect on December 31, 2002</w:t>
      </w:r>
      <w:r w:rsidR="00DC6CC0" w:rsidRPr="00F8078E">
        <w:rPr>
          <w:rFonts w:ascii="Albertus Extra Bold" w:hAnsi="Albertus Extra Bold"/>
          <w:b/>
        </w:rPr>
        <w:t>]</w:t>
      </w:r>
      <w:r w:rsidR="00DC6CC0">
        <w:rPr>
          <w:rFonts w:ascii="Albertus Extra Bold" w:hAnsi="Albertus Extra Bold"/>
          <w:b/>
        </w:rPr>
        <w:t xml:space="preserve"> </w:t>
      </w:r>
      <w:r w:rsidR="00DC6CC0">
        <w:rPr>
          <w:u w:val="single"/>
        </w:rPr>
        <w:t>, 26 U.S.C. s.179</w:t>
      </w:r>
      <w:r w:rsidR="00DC6CC0">
        <w:t xml:space="preserve">. </w:t>
      </w:r>
    </w:p>
    <w:p w:rsidR="00DC6CC0" w:rsidRPr="00A47E87" w:rsidRDefault="00DC6CC0" w:rsidP="00DC6CC0">
      <w:pPr>
        <w:rPr>
          <w:u w:val="single"/>
        </w:rPr>
      </w:pPr>
      <w:r>
        <w:tab/>
        <w:t>(B)</w:t>
      </w:r>
      <w:r>
        <w:tab/>
        <w:t xml:space="preserve">The director shall prescribe the rules and regulations necessary to carry out the provisions of this paragraph, including, </w:t>
      </w:r>
      <w:r>
        <w:lastRenderedPageBreak/>
        <w:t>among others, those for determining the adjusted basis of the acquired property for the purposes of the Corporation Business Tax Act (1945), P.L.1945, c.162.</w:t>
      </w:r>
      <w:r>
        <w:rPr>
          <w:rFonts w:ascii="Albertus Extra Bold" w:hAnsi="Albertus Extra Bold"/>
          <w:b/>
        </w:rPr>
        <w:t xml:space="preserve"> </w:t>
      </w:r>
    </w:p>
    <w:p w:rsidR="00DC6CC0" w:rsidRDefault="00353FDB" w:rsidP="00DC6CC0">
      <w:r>
        <w:tab/>
        <w:t xml:space="preserve">(14) </w:t>
      </w:r>
      <w:r w:rsidR="00DC6CC0">
        <w:t>Notwithstanding the provisions of subsection (</w:t>
      </w:r>
      <w:proofErr w:type="spellStart"/>
      <w:r w:rsidR="00DC6CC0">
        <w:t>i</w:t>
      </w:r>
      <w:proofErr w:type="spellEnd"/>
      <w:r w:rsidR="00DC6CC0">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rsidR="00DC6CC0">
        <w:t>i</w:t>
      </w:r>
      <w:proofErr w:type="spellEnd"/>
      <w:r w:rsidR="00DC6CC0">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rsidR="00DC6CC0">
        <w:t>i</w:t>
      </w:r>
      <w:proofErr w:type="spellEnd"/>
      <w:r w:rsidR="00DC6CC0">
        <w:t>) of section 108 of the federal Internal Revenue Code of 1986 (26 U.S.C. s.108).</w:t>
      </w:r>
    </w:p>
    <w:p w:rsidR="00DC6CC0" w:rsidRDefault="00DC6CC0" w:rsidP="00DC6CC0">
      <w:r>
        <w:tab/>
        <w:t>(15) Entire net income shall exclude the gain or income derived from the sale or assignment of a tax credit transfer certificate pursuant to section 7 of P.L.2011, c.149 (C.34:1B-248) and section 10 of P.L.2014, c.63 (C.34:1B-251).</w:t>
      </w:r>
    </w:p>
    <w:p w:rsidR="00DC6CC0" w:rsidRDefault="00DC6CC0" w:rsidP="00DC6CC0">
      <w:r>
        <w:tab/>
        <w:t xml:space="preserve">(16) (A) </w:t>
      </w:r>
      <w:r w:rsidR="00353FDB">
        <w:t xml:space="preserve"> </w:t>
      </w:r>
      <w:r>
        <w:t xml:space="preserve">There shall be allowed as a deduction an amount computed in accordance with this paragraph. </w:t>
      </w:r>
    </w:p>
    <w:p w:rsidR="00DC6CC0" w:rsidRDefault="00DC6CC0" w:rsidP="00DC6CC0">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DC6CC0" w:rsidRDefault="00DC6CC0" w:rsidP="00DC6CC0">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DC6CC0" w:rsidRDefault="00DC6CC0" w:rsidP="00DC6CC0">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DC6CC0" w:rsidRDefault="00DC6CC0" w:rsidP="00DC6CC0">
      <w:r>
        <w:tab/>
        <w:t>(E)</w:t>
      </w:r>
      <w:r>
        <w:tab/>
        <w:t xml:space="preserve">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w:t>
      </w:r>
      <w:r>
        <w:lastRenderedPageBreak/>
        <w:t>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DC6CC0" w:rsidRDefault="00DC6CC0" w:rsidP="00DC6CC0">
      <w:r>
        <w:tab/>
        <w:t>(F)</w:t>
      </w:r>
      <w:r>
        <w:tab/>
        <w:t>The deferred tax impact determined in subparagraph (E) of this paragraph must be converted to the annual Deferred Tax Deduction amount, as follows:</w:t>
      </w:r>
    </w:p>
    <w:p w:rsidR="00DC6CC0" w:rsidRDefault="00DC6CC0" w:rsidP="00DC6CC0">
      <w:r>
        <w:tab/>
        <w:t>(</w:t>
      </w:r>
      <w:proofErr w:type="spellStart"/>
      <w:r>
        <w:t>i</w:t>
      </w:r>
      <w:proofErr w:type="spellEnd"/>
      <w:r>
        <w:t>)</w:t>
      </w:r>
      <w:r>
        <w:tab/>
        <w:t xml:space="preserve">the deferred tax impact determined in subparagraph (E) of this paragraph shall be divided by the rate determined under section 5 of P.L.1945, c.162 (C.54:10A-5) at the effective date of P.L.2018, c.48 (C.54:10A-5.41 et al.); </w:t>
      </w:r>
    </w:p>
    <w:p w:rsidR="00DC6CC0" w:rsidRDefault="00DC6CC0" w:rsidP="00DC6CC0">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DC6CC0" w:rsidRDefault="00DC6CC0" w:rsidP="00DC6CC0">
      <w:r>
        <w:tab/>
        <w:t>(iii) the resulting amount represents the total net Deferred Tax Deduction available over the ten-year period as described in subparagraph (E) of this paragraph.</w:t>
      </w:r>
    </w:p>
    <w:p w:rsidR="00DC6CC0" w:rsidRDefault="00353FDB" w:rsidP="00DC6CC0">
      <w:r>
        <w:tab/>
        <w:t>(G)</w:t>
      </w:r>
      <w:r>
        <w:tab/>
      </w:r>
      <w:r w:rsidR="00DC6CC0">
        <w:t>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DC6CC0" w:rsidRDefault="00DC6CC0" w:rsidP="00DC6CC0">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DC6CC0" w:rsidRDefault="00DC6CC0" w:rsidP="00DC6CC0">
      <w:r>
        <w:tab/>
        <w:t>(l)</w:t>
      </w:r>
      <w:r>
        <w:tab/>
        <w:t>"Real estate investment trust" shall mean any corporation, trust or association qualifying and electing to be taxed as a real estate investment trust under federal law.</w:t>
      </w:r>
    </w:p>
    <w:p w:rsidR="00DC6CC0" w:rsidRDefault="00DC6CC0" w:rsidP="00DC6CC0">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w:t>
      </w:r>
      <w:r>
        <w:lastRenderedPageBreak/>
        <w:t xml:space="preserve">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DC6CC0" w:rsidRDefault="00DC6CC0" w:rsidP="00DC6CC0">
      <w:r>
        <w:tab/>
        <w:t>(n)</w:t>
      </w:r>
      <w:r>
        <w:tab/>
        <w:t xml:space="preserve">"International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w:t>
      </w:r>
      <w:r>
        <w:lastRenderedPageBreak/>
        <w:t>Federal Reserve System.  The regulations of the Commissioner of Banking and Insurance shall thereafter provide the applicable definitions.</w:t>
      </w:r>
    </w:p>
    <w:p w:rsidR="00DC6CC0" w:rsidRDefault="00DC6CC0" w:rsidP="00DC6CC0">
      <w:r>
        <w:tab/>
        <w:t>(o)</w:t>
      </w:r>
      <w:r>
        <w:tab/>
        <w:t>"S corporation" means a corporation included in the definition of an "S corporation" pursuant to section 1361 of the federal Internal Revenue Code of 1986, 26 U.S.C. s.1361.</w:t>
      </w:r>
    </w:p>
    <w:p w:rsidR="00DC6CC0" w:rsidRDefault="00DC6CC0" w:rsidP="00DC6CC0">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DC6CC0" w:rsidRDefault="00DC6CC0" w:rsidP="00DC6CC0">
      <w:r>
        <w:tab/>
        <w:t>(q)</w:t>
      </w:r>
      <w:r>
        <w:tab/>
        <w:t>"Public Utility" means "public utility" as defined in R.S.48:2-13.</w:t>
      </w:r>
    </w:p>
    <w:p w:rsidR="00DC6CC0" w:rsidRDefault="00DC6CC0" w:rsidP="00DC6CC0">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DC6CC0" w:rsidRDefault="00DC6CC0" w:rsidP="00DC6CC0">
      <w:r>
        <w:tab/>
        <w:t>(s)</w:t>
      </w:r>
      <w:r>
        <w:tab/>
        <w:t>"Savings institution" means a state or federally chartered building and loan association, savings and loan association, or savings bank.</w:t>
      </w:r>
    </w:p>
    <w:p w:rsidR="00DC6CC0" w:rsidRDefault="00DC6CC0" w:rsidP="00DC6CC0">
      <w:r>
        <w:tab/>
        <w:t>(t)</w:t>
      </w:r>
      <w:r>
        <w:tab/>
        <w:t>"Partnership" means an entity classified as a partnership for federal income tax purposes.</w:t>
      </w:r>
    </w:p>
    <w:p w:rsidR="00DC6CC0" w:rsidRDefault="00DC6CC0" w:rsidP="00DC6CC0">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DC6CC0" w:rsidRDefault="00DC6CC0" w:rsidP="00DC6CC0">
      <w:r>
        <w:tab/>
        <w:t>(1)</w:t>
      </w:r>
      <w:r>
        <w:tab/>
        <w:t>As used in this subsection:</w:t>
      </w:r>
    </w:p>
    <w:p w:rsidR="00DC6CC0" w:rsidRDefault="00DC6CC0" w:rsidP="00DC6CC0">
      <w:r>
        <w:tab/>
        <w:t>"Base year" means the last privilege period ending prior to July 31, 2019.</w:t>
      </w:r>
    </w:p>
    <w:p w:rsidR="00DC6CC0" w:rsidRDefault="00DC6CC0" w:rsidP="00DC6CC0">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DC6CC0" w:rsidRDefault="00DC6CC0" w:rsidP="00DC6CC0">
      <w:r>
        <w:tab/>
        <w:t xml:space="preserve">"UNOL" means the unabsorbed portion of net operating loss as calculated under paragraph (6) of subsection (k) of this section as such paragraph was in effect for the last privilege period ending prior to July 31, 2019, that was not deductible in previous privilege </w:t>
      </w:r>
      <w:r>
        <w:lastRenderedPageBreak/>
        <w:t>periods and was eligible for carryover on the last day of the base year subject to the limitations for deduction under such subsection, including any net operating loss sustained by the taxpayer during the base year.</w:t>
      </w:r>
    </w:p>
    <w:p w:rsidR="00DC6CC0" w:rsidRDefault="00DC6CC0" w:rsidP="00DC6CC0">
      <w:r>
        <w:tab/>
        <w:t>(2)</w:t>
      </w:r>
      <w:r>
        <w:tab/>
        <w:t>The prior net operating loss conversion carryover shall be calculated as follows:</w:t>
      </w:r>
    </w:p>
    <w:p w:rsidR="00DC6CC0" w:rsidRDefault="00DC6CC0" w:rsidP="00DC6CC0">
      <w:r>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DC6CC0" w:rsidRDefault="00DC6CC0" w:rsidP="00DC6CC0">
      <w:r>
        <w:tab/>
        <w:t>(B)</w:t>
      </w:r>
      <w:r>
        <w:tab/>
        <w:t>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DC6CC0" w:rsidRDefault="00DC6CC0" w:rsidP="00DC6CC0">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DC6CC0" w:rsidRDefault="00DC6CC0" w:rsidP="00DC6CC0">
      <w:r>
        <w:tab/>
        <w:t>(v)</w:t>
      </w:r>
      <w:r>
        <w:tab/>
        <w:t>"Net operating loss deduction" means the amount allowed as a deduction for the net operating loss carryover to the privilege period, calculated as follows:</w:t>
      </w:r>
    </w:p>
    <w:p w:rsidR="00DC6CC0" w:rsidRDefault="00DC6CC0" w:rsidP="00DC6CC0">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DC6CC0" w:rsidRDefault="00DC6CC0" w:rsidP="00DC6CC0">
      <w:r>
        <w:tab/>
        <w:t>(2)</w:t>
      </w:r>
      <w:r>
        <w:tab/>
        <w:t xml:space="preserve">Net operating loss. For purposes of this paragraph the term "net operating loss" means the excess of the deductions over the </w:t>
      </w:r>
      <w:r>
        <w:lastRenderedPageBreak/>
        <w:t>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DC6CC0" w:rsidRDefault="00DC6CC0" w:rsidP="00DC6CC0">
      <w:r>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DC6CC0" w:rsidRDefault="00DC6CC0" w:rsidP="00DC6CC0">
      <w:r>
        <w:tab/>
        <w:t>(4)</w:t>
      </w:r>
      <w:r>
        <w:tab/>
        <w:t>A net operating loss carryover shall not include any net operating loss incurred during any privilege period ending prior to July 31, 2019.</w:t>
      </w:r>
    </w:p>
    <w:p w:rsidR="00DC6CC0" w:rsidRDefault="00353FDB" w:rsidP="00DC6CC0">
      <w:r>
        <w:tab/>
        <w:t>(5)</w:t>
      </w:r>
      <w:r w:rsidR="00DC6CC0">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DC6CC0" w:rsidRDefault="00DC6CC0" w:rsidP="00DC6CC0">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DC6CC0" w:rsidRDefault="00DC6CC0" w:rsidP="00DC6CC0">
      <w:r>
        <w:tab/>
        <w:t>(x)</w:t>
      </w:r>
      <w:r>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DC6CC0" w:rsidRDefault="00DC6CC0" w:rsidP="00DC6CC0">
      <w:r>
        <w:tab/>
        <w:t>(y)</w:t>
      </w:r>
      <w:r>
        <w:tab/>
        <w:t>"Combinable captive insurance company" means an entity that is treated as an association taxable as a corporation under the federal Internal Revenue Code:</w:t>
      </w:r>
    </w:p>
    <w:p w:rsidR="00DC6CC0" w:rsidRDefault="00DC6CC0" w:rsidP="00DC6CC0">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DC6CC0" w:rsidRDefault="00DC6CC0" w:rsidP="00DC6CC0">
      <w:r>
        <w:lastRenderedPageBreak/>
        <w:tab/>
        <w:t>(2)</w:t>
      </w:r>
      <w:r>
        <w:tab/>
        <w:t>that is licensed as a captive insurance company under the laws of this State or another jurisdiction;</w:t>
      </w:r>
    </w:p>
    <w:p w:rsidR="00DC6CC0" w:rsidRDefault="00DC6CC0" w:rsidP="00DC6CC0">
      <w:r>
        <w:tab/>
        <w:t>(3)</w:t>
      </w:r>
      <w:r>
        <w:tab/>
        <w:t>whose business includes providing, directly and indirectly, insurance or reinsurance covering the risks of its parent, members of its affiliated group, or both; and</w:t>
      </w:r>
    </w:p>
    <w:p w:rsidR="00DC6CC0" w:rsidRDefault="00DC6CC0" w:rsidP="00DC6CC0">
      <w:r>
        <w:tab/>
        <w:t>(4)</w:t>
      </w:r>
      <w:r>
        <w:tab/>
        <w:t xml:space="preserve">50% or less of whose gross receipts for the privilege period consist of premiums from arrangements that constitute insurance for federal income tax purposes. </w:t>
      </w:r>
    </w:p>
    <w:p w:rsidR="00DC6CC0" w:rsidRDefault="00DC6CC0" w:rsidP="00DC6CC0">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DC6CC0" w:rsidRDefault="00DC6CC0" w:rsidP="00DC6CC0">
      <w:r>
        <w:tab/>
        <w:t xml:space="preserve">For purposes of this definition: </w:t>
      </w:r>
    </w:p>
    <w:p w:rsidR="00DC6CC0" w:rsidRDefault="00DC6CC0" w:rsidP="00DC6CC0">
      <w:r>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DC6CC0" w:rsidRDefault="00DC6CC0" w:rsidP="00DC6CC0">
      <w:r>
        <w:tab/>
        <w:t>"Gross receipts" includes the amounts included in gross receipts for purposes of paragraph (15) of subsection (c) of section 501 of the federal Internal Revenue Code, 26 U.S.C. s.501, except that those amounts also include all premiums.</w:t>
      </w:r>
    </w:p>
    <w:p w:rsidR="00DC6CC0" w:rsidRDefault="00DC6CC0" w:rsidP="00DC6CC0">
      <w:r>
        <w:tab/>
        <w:t>"Premiums" includes consideration for annuity contracts and excludes any part of the consideration for insurance, reinsurance, or annuity contracts that do not provide bona fide insurance, reinsurance, or annuity benefits.</w:t>
      </w:r>
    </w:p>
    <w:p w:rsidR="00DC6CC0" w:rsidRDefault="00DC6CC0" w:rsidP="00DC6CC0">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DC6CC0" w:rsidRDefault="00353FDB" w:rsidP="00DC6CC0">
      <w:r>
        <w:tab/>
        <w:t xml:space="preserve">(aa) </w:t>
      </w:r>
      <w:r w:rsidR="00DC6CC0">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DC6CC0" w:rsidRDefault="00353FDB" w:rsidP="00DC6CC0">
      <w:r>
        <w:lastRenderedPageBreak/>
        <w:tab/>
        <w:t xml:space="preserve">(bb) </w:t>
      </w:r>
      <w:r w:rsidR="00DC6CC0">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DC6CC0" w:rsidRDefault="00353FDB" w:rsidP="00DC6CC0">
      <w:r>
        <w:tab/>
        <w:t xml:space="preserve">(cc) </w:t>
      </w:r>
      <w:r w:rsidR="00DC6CC0">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DC6CC0" w:rsidRDefault="00353FDB" w:rsidP="00DC6CC0">
      <w:r>
        <w:tab/>
        <w:t>(</w:t>
      </w:r>
      <w:proofErr w:type="spellStart"/>
      <w:r>
        <w:t>dd</w:t>
      </w:r>
      <w:proofErr w:type="spellEnd"/>
      <w:r>
        <w:t xml:space="preserve">) </w:t>
      </w:r>
      <w:r w:rsidR="00DC6CC0">
        <w:t>"Member" means a business entity that is a part of a combined group.</w:t>
      </w:r>
    </w:p>
    <w:p w:rsidR="00DC6CC0" w:rsidRDefault="00353FDB" w:rsidP="00DC6CC0">
      <w:r>
        <w:tab/>
        <w:t>(</w:t>
      </w:r>
      <w:proofErr w:type="spellStart"/>
      <w:r>
        <w:t>ee</w:t>
      </w:r>
      <w:proofErr w:type="spellEnd"/>
      <w:r>
        <w:t xml:space="preserve">) </w:t>
      </w:r>
      <w:r w:rsidR="00DC6CC0">
        <w:t>"Nontaxable member" means a member that is: (</w:t>
      </w:r>
      <w:proofErr w:type="spellStart"/>
      <w:r w:rsidR="00DC6CC0">
        <w:t>i</w:t>
      </w:r>
      <w:proofErr w:type="spellEnd"/>
      <w:r w:rsidR="00DC6CC0">
        <w:t>) not subject to tax pursuant to the Corporation Business Tax Act (1945), P.L.1945, c.162 (C.54:10A-1 et seq.) and is not a corporation exempted from the tax pursuant to section 3 of P.L.1945, c.162 (C.54:10A-3) except for a combinable captive insurance company; or (ii) a New Jersey S Corporation which does not elect to be included in the combined group.</w:t>
      </w:r>
    </w:p>
    <w:p w:rsidR="00DC6CC0" w:rsidRDefault="00DC6CC0" w:rsidP="00DC6CC0">
      <w:r>
        <w:tab/>
        <w:t>(</w:t>
      </w:r>
      <w:proofErr w:type="spellStart"/>
      <w:r>
        <w:t>ff</w:t>
      </w:r>
      <w:proofErr w:type="spellEnd"/>
      <w:r>
        <w:t>)</w:t>
      </w:r>
      <w:r>
        <w:tab/>
        <w:t>"Taxable member" means a member that is subject to tax pursuant to the Corporation Business Tax Act (1945), P.L.1945, c.162 (C.54:10A-1 et seq.).</w:t>
      </w:r>
    </w:p>
    <w:p w:rsidR="00DC6CC0" w:rsidRDefault="00353FDB" w:rsidP="00DC6CC0">
      <w:r>
        <w:tab/>
        <w:t xml:space="preserve">(gg) </w:t>
      </w:r>
      <w:r w:rsidR="00DC6CC0">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353FDB" w:rsidRDefault="00DC6CC0" w:rsidP="00353FDB">
      <w:r>
        <w:t>(</w:t>
      </w:r>
      <w:proofErr w:type="spellStart"/>
      <w:r>
        <w:t>cf</w:t>
      </w:r>
      <w:proofErr w:type="spellEnd"/>
      <w:r>
        <w:t>: P.L.2018, c.131, s.2)</w:t>
      </w:r>
      <w:r w:rsidR="00353FDB">
        <w:br w:type="page"/>
      </w:r>
    </w:p>
    <w:p w:rsidR="00DC6CC0" w:rsidRDefault="00DC6CC0" w:rsidP="00DC6CC0">
      <w:r>
        <w:lastRenderedPageBreak/>
        <w:tab/>
        <w:t>2.</w:t>
      </w:r>
      <w:r>
        <w:tab/>
        <w:t>Section 26 of P.L.2004, c.65 (C.54A:5-1.2) is amended to read as follows:</w:t>
      </w:r>
    </w:p>
    <w:p w:rsidR="00DC6CC0" w:rsidRDefault="00DC6CC0" w:rsidP="00DC6CC0">
      <w:r>
        <w:tab/>
        <w:t>26.</w:t>
      </w:r>
      <w:r>
        <w:tab/>
        <w:t>a.  For taxable years beginning on or after January 1, 2004, notwithstanding the provisions of N.J.S.54A:5-1, if any, or any other law to the contrary, for the purposes of determining the amount of a category of income pursuant to N.J.S.54A:5-1 that is net of expenses:</w:t>
      </w:r>
    </w:p>
    <w:p w:rsidR="00DC6CC0" w:rsidRDefault="00DC6CC0" w:rsidP="00DC6CC0">
      <w:r>
        <w:tab/>
        <w:t>(1)</w:t>
      </w:r>
      <w:r>
        <w:tab/>
        <w:t xml:space="preserve">notwithstanding the provisions of subsection (k) of section 168 of the federal Internal Revenue Code of 1986, 26 U.S.C. s.168, subsection (b) of section 1400L of the federal Internal Revenue Code of 1986, 26 U.S.C. s.1400L, or any other federal law, for property placed in service on or after January 1, 2004, the depreciation deduction otherwise allowed pursuant to section 167 of the federal Internal Revenue Code of 1986, 26 U.S.C. s.167, shall be determined pursuant to the provisions of the federal Internal Revenue Code of 1986 (26 U.S.C. s.1 et seq.) in effect on December 31, 2001; and </w:t>
      </w:r>
    </w:p>
    <w:p w:rsidR="00DC6CC0" w:rsidRPr="00A47E87" w:rsidRDefault="00DC6CC0" w:rsidP="00DC6CC0">
      <w:pPr>
        <w:rPr>
          <w:u w:val="single"/>
        </w:rPr>
      </w:pPr>
      <w:r>
        <w:tab/>
        <w:t>(2)</w:t>
      </w:r>
      <w:r>
        <w:tab/>
      </w:r>
      <w:r w:rsidRPr="00573E8E">
        <w:rPr>
          <w:rFonts w:ascii="Albertus Extra Bold" w:hAnsi="Albertus Extra Bold"/>
          <w:b/>
        </w:rPr>
        <w:t>[</w:t>
      </w:r>
      <w:r>
        <w:t>notwithstanding the provisions of section 179 of the federal Internal Revenue Code of 1986, 26 U.S.C. s.179, for</w:t>
      </w:r>
      <w:r w:rsidRPr="002C502C">
        <w:rPr>
          <w:rFonts w:ascii="Albertus Extra Bold" w:hAnsi="Albertus Extra Bold"/>
          <w:b/>
        </w:rPr>
        <w:t>]</w:t>
      </w:r>
      <w:r w:rsidRPr="002C502C">
        <w:t xml:space="preserve"> </w:t>
      </w:r>
      <w:r>
        <w:rPr>
          <w:u w:val="single"/>
        </w:rPr>
        <w:t>For section 179</w:t>
      </w:r>
      <w:r>
        <w:t xml:space="preserve"> property placed in service on or after </w:t>
      </w:r>
      <w:r w:rsidRPr="002C502C">
        <w:rPr>
          <w:rFonts w:ascii="Albertus Extra Bold" w:hAnsi="Albertus Extra Bold"/>
          <w:b/>
        </w:rPr>
        <w:t>[</w:t>
      </w:r>
      <w:r>
        <w:t>January 1, 2004</w:t>
      </w:r>
      <w:r w:rsidRPr="002C502C">
        <w:rPr>
          <w:rFonts w:ascii="Albertus Extra Bold" w:hAnsi="Albertus Extra Bold"/>
          <w:b/>
        </w:rPr>
        <w:t>]</w:t>
      </w:r>
      <w:r>
        <w:t xml:space="preserve"> </w:t>
      </w:r>
      <w:r>
        <w:rPr>
          <w:u w:val="single"/>
        </w:rPr>
        <w:t>January 1, 2020</w:t>
      </w:r>
      <w:r>
        <w:t xml:space="preserve">, the costs that a taxpayer may </w:t>
      </w:r>
      <w:r w:rsidRPr="002C4DA7">
        <w:rPr>
          <w:rFonts w:ascii="Albertus Extra Bold" w:hAnsi="Albertus Extra Bold"/>
          <w:b/>
        </w:rPr>
        <w:t>[</w:t>
      </w:r>
      <w:r>
        <w:t>otherwise</w:t>
      </w:r>
      <w:r w:rsidRPr="002C4DA7">
        <w:rPr>
          <w:rFonts w:ascii="Albertus Extra Bold" w:hAnsi="Albertus Extra Bold"/>
          <w:b/>
        </w:rPr>
        <w:t>]</w:t>
      </w:r>
      <w:r>
        <w:t xml:space="preserve"> elect to treat as an expense which is not chargeable to a capital account shall be determined pursuant to the provisions of </w:t>
      </w:r>
      <w:r w:rsidRPr="002C502C">
        <w:rPr>
          <w:u w:val="single"/>
        </w:rPr>
        <w:t>section 179 of</w:t>
      </w:r>
      <w:r>
        <w:t xml:space="preserve"> </w:t>
      </w:r>
      <w:r w:rsidRPr="00573E8E">
        <w:t>the</w:t>
      </w:r>
      <w:r>
        <w:t xml:space="preserve"> federal Internal Revenue Code </w:t>
      </w:r>
      <w:r w:rsidRPr="002C502C">
        <w:rPr>
          <w:rFonts w:ascii="Albertus Extra Bold" w:hAnsi="Albertus Extra Bold"/>
          <w:b/>
        </w:rPr>
        <w:t>[</w:t>
      </w:r>
      <w:r>
        <w:t>of 1986 (26 U.S.C. s.1 et seq.) in effect on December 31, 2002</w:t>
      </w:r>
      <w:r w:rsidRPr="002C502C">
        <w:rPr>
          <w:rFonts w:ascii="Albertus Extra Bold" w:hAnsi="Albertus Extra Bold"/>
          <w:b/>
        </w:rPr>
        <w:t>]</w:t>
      </w:r>
      <w:r>
        <w:rPr>
          <w:rFonts w:ascii="Albertus Extra Bold" w:hAnsi="Albertus Extra Bold"/>
          <w:b/>
        </w:rPr>
        <w:t xml:space="preserve"> </w:t>
      </w:r>
      <w:r>
        <w:rPr>
          <w:u w:val="single"/>
        </w:rPr>
        <w:t>, 26 U.S.C. s.179</w:t>
      </w:r>
      <w:r>
        <w:t>.</w:t>
      </w:r>
      <w:r>
        <w:rPr>
          <w:rFonts w:ascii="Albertus Extra Bold" w:hAnsi="Albertus Extra Bold"/>
          <w:b/>
        </w:rPr>
        <w:t xml:space="preserve"> </w:t>
      </w:r>
    </w:p>
    <w:p w:rsidR="00DC6CC0" w:rsidRDefault="00DC6CC0" w:rsidP="00DC6CC0">
      <w:r>
        <w:tab/>
        <w:t>b.</w:t>
      </w:r>
      <w:r>
        <w:tab/>
        <w:t>The director shall prescribe the rules and regulations necessary to carry out the provisions of this section, including, among others, those for determining the adjusted basis of the acquired property for the purposes of the "New Jersey Gross Income Tax Act," N.J.S.54A:1-1 et seq.</w:t>
      </w:r>
    </w:p>
    <w:p w:rsidR="00DC6CC0" w:rsidRDefault="00DC6CC0" w:rsidP="00DC6CC0">
      <w:r>
        <w:t>(</w:t>
      </w:r>
      <w:proofErr w:type="spellStart"/>
      <w:r>
        <w:t>cf</w:t>
      </w:r>
      <w:proofErr w:type="spellEnd"/>
      <w:r>
        <w:t>: P.L.2004, c.65, s.26)</w:t>
      </w:r>
    </w:p>
    <w:p w:rsidR="00DC6CC0" w:rsidRDefault="00DC6CC0" w:rsidP="00DC6CC0"/>
    <w:p w:rsidR="00DC6CC0" w:rsidRDefault="00DC6CC0" w:rsidP="00DC6CC0">
      <w:r>
        <w:tab/>
        <w:t>3.</w:t>
      </w:r>
      <w:r>
        <w:tab/>
        <w:t xml:space="preserve">This act shall take effect immediately and apply to privilege periods and taxable years commencing on or after January 1, 2020. </w:t>
      </w:r>
    </w:p>
    <w:p w:rsidR="00DC6CC0" w:rsidRDefault="00DC6CC0" w:rsidP="00DC6CC0"/>
    <w:p w:rsidR="00DC6CC0" w:rsidRDefault="00DC6CC0" w:rsidP="00DC6CC0"/>
    <w:p w:rsidR="00DC6CC0" w:rsidRDefault="00DC6CC0" w:rsidP="00DC6CC0">
      <w:pPr>
        <w:jc w:val="center"/>
      </w:pPr>
      <w:r w:rsidRPr="00D71D68">
        <w:t>STATEMENT</w:t>
      </w:r>
    </w:p>
    <w:p w:rsidR="00DC6CC0" w:rsidRPr="00AA7880" w:rsidRDefault="00DC6CC0" w:rsidP="00DC6CC0">
      <w:pPr>
        <w:jc w:val="center"/>
      </w:pPr>
    </w:p>
    <w:p w:rsidR="00DC6CC0" w:rsidRDefault="00DC6CC0" w:rsidP="00DC6CC0">
      <w:r>
        <w:tab/>
        <w:t xml:space="preserve">This bill revises the corporation business tax (CBT) and the New Jersey gross income tax (GIT) to allow taxpayers to elect to expense the cost of certain depreciable business assets, placed in service on or after January 1, 2020, pursuant to the provisions of section 179 of the federal Internal Revenue Code.  </w:t>
      </w:r>
    </w:p>
    <w:p w:rsidR="00DC6CC0" w:rsidRDefault="00DC6CC0" w:rsidP="00DC6CC0">
      <w:r>
        <w:tab/>
        <w:t xml:space="preserve">Section 179 permits taxpayers (in lieu of taking deductions for the depreciation of the property over time) to elect to deduct from taxable income as an expense the full purchase price, up to a limit, which was $1,000,000 in 2018, of certain qualified property that is </w:t>
      </w:r>
      <w:r>
        <w:lastRenderedPageBreak/>
        <w:t xml:space="preserve">purchased by a taxpayer for use in the active conduct of a trade or business for the taxable year in which the property is placed in service, subject to dollar and income limitations and other rules. The dollar limitation provides that the maximum deduction that a taxpayer may claim in a taxable year is reduced by the amount by which the aggregate cost of the qualified property exceeds a </w:t>
      </w:r>
      <w:proofErr w:type="spellStart"/>
      <w:r>
        <w:t>phaseout</w:t>
      </w:r>
      <w:proofErr w:type="spellEnd"/>
      <w:r>
        <w:t xml:space="preserve"> threshold, which was $2,500,000 in 2018.  </w:t>
      </w:r>
    </w:p>
    <w:p w:rsidR="00DC6CC0" w:rsidRDefault="00DC6CC0" w:rsidP="00DC6CC0">
      <w:r>
        <w:tab/>
        <w:t>The income limitation under Section 179 bars a taxpayer from claiming a deduction that is greater than its taxable income from the active conduct of its trade or business. Any amount that a taxpayer cannot deduct for a taxable year because of the income limitation may be carried forward to a future year pursuant to section 179.</w:t>
      </w:r>
    </w:p>
    <w:p w:rsidR="00DC6CC0" w:rsidRDefault="00DC6CC0" w:rsidP="00DC6CC0">
      <w:r>
        <w:tab/>
        <w:t>Because of these dollar and income limitations, which are adjusted annually for inflation, the deduction allowed pursuant to section 179 is particularly useful to small businesses.</w:t>
      </w:r>
    </w:p>
    <w:p w:rsidR="00DC6CC0" w:rsidRDefault="00DC6CC0" w:rsidP="00DC6CC0">
      <w:r>
        <w:tab/>
        <w:t>Since 2004, the CBT and the GIT have provided that taxpayers cannot elect to deduct as an expense certain depreciable business assets, except as was allowed for federal tax purposes by section 179 as it read on December 31, 2002, when determining entire net income for CBT purposes and the amount of a category of income pursuant to the GIT that is net of expenses. This bill amends those provisions of State law to re-link the CBT and the GIT with section 179 of the federal Internal Revenue Code, as it now reads and may read in the future.</w:t>
      </w:r>
    </w:p>
    <w:p w:rsidR="00DC6CC0" w:rsidRDefault="00DC6CC0" w:rsidP="00DC6CC0">
      <w:r>
        <w:tab/>
        <w:t>The bill would apply to privilege periods and taxable years commencing on or after January 1, 2020.</w:t>
      </w:r>
    </w:p>
    <w:sectPr w:rsidR="00DC6CC0" w:rsidSect="00B9318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1C4" w:rsidRDefault="001E11C4">
      <w:r>
        <w:separator/>
      </w:r>
    </w:p>
  </w:endnote>
  <w:endnote w:type="continuationSeparator" w:id="0">
    <w:p w:rsidR="001E11C4" w:rsidRDefault="001E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188" w:rsidRPr="00921C91" w:rsidRDefault="00B931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3188" w:rsidRPr="00921C91" w:rsidRDefault="00B93188">
    <w:pPr>
      <w:pStyle w:val="Footer"/>
      <w:rPr>
        <w:szCs w:val="18"/>
      </w:rPr>
    </w:pPr>
  </w:p>
  <w:p w:rsidR="00B93188" w:rsidRPr="00921C91" w:rsidRDefault="00B931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3188" w:rsidRDefault="00B9318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1C4" w:rsidRDefault="001E11C4">
      <w:r>
        <w:separator/>
      </w:r>
    </w:p>
  </w:footnote>
  <w:footnote w:type="continuationSeparator" w:id="0">
    <w:p w:rsidR="001E11C4" w:rsidRDefault="001E1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5D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23CE" w:rsidRDefault="00C423CE" w:rsidP="00C423CE">
    <w:pPr>
      <w:pStyle w:val="bpuHeadSpon"/>
    </w:pPr>
    <w:r w:rsidRPr="00C423CE">
      <w:rPr>
        <w:rStyle w:val="bpuHeadSponChar"/>
      </w:rPr>
      <w:t>A1165</w:t>
    </w:r>
    <w:r>
      <w:t xml:space="preserve"> FREIMAN, ARMATO</w:t>
    </w:r>
  </w:p>
  <w:p w:rsidR="00C423CE" w:rsidRDefault="00C423CE" w:rsidP="00C423CE">
    <w:pPr>
      <w:pStyle w:val="bpuHeadSpon"/>
    </w:pPr>
    <w:r>
      <w:fldChar w:fldCharType="begin"/>
    </w:r>
    <w:r>
      <w:instrText xml:space="preserve"> PAGE  \* MERGEFORMAT </w:instrText>
    </w:r>
    <w:r>
      <w:fldChar w:fldCharType="separate"/>
    </w:r>
    <w:r w:rsidR="00CE5D48">
      <w:rPr>
        <w:noProof/>
      </w:rPr>
      <w:t>21</w:t>
    </w:r>
    <w:r>
      <w:fldChar w:fldCharType="end"/>
    </w:r>
  </w:p>
  <w:p w:rsidR="00C423CE" w:rsidRPr="00AF575C" w:rsidRDefault="00C423CE" w:rsidP="00C423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23CE" w:rsidRDefault="00C423CE" w:rsidP="00C423CE">
    <w:pPr>
      <w:pStyle w:val="bpuHeadSpon"/>
    </w:pPr>
    <w:r w:rsidRPr="00C423CE">
      <w:rPr>
        <w:rStyle w:val="bpuHeadSponChar"/>
      </w:rPr>
      <w:t>A1165</w:t>
    </w:r>
    <w:r>
      <w:t xml:space="preserve"> FREIMAN, ARMATO</w:t>
    </w:r>
  </w:p>
  <w:p w:rsidR="00C423CE" w:rsidRDefault="00C423CE" w:rsidP="00C423CE">
    <w:pPr>
      <w:pStyle w:val="bpuHeadSpon"/>
    </w:pPr>
    <w:r>
      <w:fldChar w:fldCharType="begin"/>
    </w:r>
    <w:r>
      <w:instrText xml:space="preserve"> PAGE  \* MERGEFORMAT </w:instrText>
    </w:r>
    <w:r>
      <w:fldChar w:fldCharType="separate"/>
    </w:r>
    <w:r w:rsidR="00CE5D48">
      <w:rPr>
        <w:noProof/>
      </w:rPr>
      <w:t>2</w:t>
    </w:r>
    <w:r>
      <w:fldChar w:fldCharType="end"/>
    </w:r>
  </w:p>
  <w:p w:rsidR="00C423CE" w:rsidRDefault="00C423CE" w:rsidP="00C423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E8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197"/>
    <w:rsid w:val="00197DEE"/>
    <w:rsid w:val="001A253A"/>
    <w:rsid w:val="001A28C1"/>
    <w:rsid w:val="001A3589"/>
    <w:rsid w:val="001A55F1"/>
    <w:rsid w:val="001A66DB"/>
    <w:rsid w:val="001B3175"/>
    <w:rsid w:val="001B3F81"/>
    <w:rsid w:val="001B7150"/>
    <w:rsid w:val="001C6A67"/>
    <w:rsid w:val="001D576D"/>
    <w:rsid w:val="001D7350"/>
    <w:rsid w:val="001E11C4"/>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FD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8B2"/>
    <w:rsid w:val="0048038F"/>
    <w:rsid w:val="00484B8A"/>
    <w:rsid w:val="0048576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D4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A12"/>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33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72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D7F82"/>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188"/>
    <w:rsid w:val="00BB2482"/>
    <w:rsid w:val="00BC4545"/>
    <w:rsid w:val="00BD79EC"/>
    <w:rsid w:val="00BE204A"/>
    <w:rsid w:val="00BE26FC"/>
    <w:rsid w:val="00BF23C7"/>
    <w:rsid w:val="00BF7456"/>
    <w:rsid w:val="00C035F3"/>
    <w:rsid w:val="00C078A1"/>
    <w:rsid w:val="00C3401C"/>
    <w:rsid w:val="00C423CE"/>
    <w:rsid w:val="00C473B8"/>
    <w:rsid w:val="00C603F9"/>
    <w:rsid w:val="00C614C5"/>
    <w:rsid w:val="00C83317"/>
    <w:rsid w:val="00C937A1"/>
    <w:rsid w:val="00C93F56"/>
    <w:rsid w:val="00CB344E"/>
    <w:rsid w:val="00CE5D4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CC0"/>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77950A-0B1B-4BD5-86AA-69B9ADD6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DCC16-A1D2-45BA-A2DD-3C9E3D133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9631</Words>
  <Characters>49906</Characters>
  <Application>Microsoft Office Word</Application>
  <DocSecurity>0</DocSecurity>
  <Lines>1008</Lines>
  <Paragraphs>161</Paragraphs>
  <ScaleCrop>false</ScaleCrop>
  <HeadingPairs>
    <vt:vector size="2" baseType="variant">
      <vt:variant>
        <vt:lpstr>Title</vt:lpstr>
      </vt:variant>
      <vt:variant>
        <vt:i4>1</vt:i4>
      </vt:variant>
    </vt:vector>
  </HeadingPairs>
  <TitlesOfParts>
    <vt:vector size="1" baseType="lpstr">
      <vt:lpstr>A1165</vt:lpstr>
    </vt:vector>
  </TitlesOfParts>
  <Manager>R225</Manager>
  <Company>OFFICE of LEGISLATIVE SERVICES</Company>
  <LinksUpToDate>false</LinksUpToDate>
  <CharactersWithSpaces>59586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A1165</dc:title>
  <dc:creator>Assemblyman  FREIMAN, Assemblyman  ARMATO</dc:creator>
  <cp:keywords>A1165|22|SG |223|0|0|!|0|</cp:keywords>
  <dc:description>PREFILED 2020</dc:description>
  <cp:lastModifiedBy>Siracusa, Nicole</cp:lastModifiedBy>
  <cp:revision>2</cp:revision>
  <cp:lastPrinted>2005-07-29T18:13:00Z</cp:lastPrinted>
  <dcterms:created xsi:type="dcterms:W3CDTF">2020-01-06T17:48:00Z</dcterms:created>
  <dcterms:modified xsi:type="dcterms:W3CDTF">2020-01-06T17:48:00Z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