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198" w:rsidRDefault="003C7198" w:rsidP="003C7198">
      <w:pPr>
        <w:pStyle w:val="bpuBill"/>
      </w:pPr>
      <w:bookmarkStart w:id="0" w:name="bpuFrontPg"/>
      <w:bookmarkStart w:id="1" w:name="_GoBack"/>
      <w:bookmarkEnd w:id="0"/>
      <w:bookmarkEnd w:id="1"/>
      <w:r>
        <w:t xml:space="preserve">ASSEMBLY, No. 1246 </w:t>
      </w:r>
    </w:p>
    <w:p w:rsidR="003C7198" w:rsidRPr="003C7198" w:rsidRDefault="003C7198" w:rsidP="003C71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2128940" r:id="rId8"/>
        </w:object>
      </w:r>
    </w:p>
    <w:p w:rsidR="003C7198" w:rsidRDefault="003C7198" w:rsidP="003C7198">
      <w:pPr>
        <w:pStyle w:val="bpuState"/>
      </w:pPr>
      <w:r>
        <w:t>STATE OF NEW JERSEY</w:t>
      </w:r>
    </w:p>
    <w:p w:rsidR="003C7198" w:rsidRDefault="003C7198" w:rsidP="003C7198">
      <w:pPr>
        <w:pStyle w:val="bpuLegislature"/>
      </w:pPr>
      <w:r>
        <w:t>219th LEGISLATURE</w:t>
      </w:r>
    </w:p>
    <w:p w:rsidR="003C7198" w:rsidRDefault="003C7198" w:rsidP="003C7198">
      <w:pPr>
        <w:pStyle w:val="bpuWpGraphic"/>
      </w:pPr>
      <w:r>
        <w:object w:dxaOrig="8985" w:dyaOrig="255">
          <v:shape id="_x0000_i1026" type="#_x0000_t75" style="width:6in;height:11.5pt" o:ole="">
            <v:imagedata r:id="rId7" o:title=""/>
          </v:shape>
          <o:OLEObject Type="Embed" ProgID="WPWin6.1" ShapeID="_x0000_i1026" DrawAspect="Content" ObjectID="_1672128941" r:id="rId9"/>
        </w:object>
      </w:r>
      <w:r>
        <w:t xml:space="preserve">  </w:t>
      </w:r>
    </w:p>
    <w:p w:rsidR="003C7198" w:rsidRDefault="003C7198" w:rsidP="003C7198">
      <w:pPr>
        <w:pStyle w:val="bpuIntro"/>
      </w:pPr>
      <w:r>
        <w:t>PRE-FILED FOR INTRODUCTION IN THE 2020 SESSION</w:t>
      </w:r>
    </w:p>
    <w:p w:rsidR="003C7198" w:rsidRDefault="003C7198" w:rsidP="003C7198">
      <w:pPr>
        <w:pStyle w:val="bpuIntro"/>
      </w:pPr>
    </w:p>
    <w:p w:rsidR="003C7198" w:rsidRDefault="003C7198" w:rsidP="003C7198">
      <w:pPr>
        <w:pStyle w:val="bpuIntro"/>
        <w:sectPr w:rsidR="003C7198" w:rsidSect="0063761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C7198" w:rsidRDefault="003C7198" w:rsidP="003C7198">
      <w:pPr>
        <w:pStyle w:val="bpuIntro"/>
      </w:pPr>
    </w:p>
    <w:p w:rsidR="003C7198" w:rsidRDefault="003C7198" w:rsidP="003C7198">
      <w:pPr>
        <w:pStyle w:val="bpuSponsor"/>
      </w:pPr>
      <w:r>
        <w:t>Sponsored by:</w:t>
      </w:r>
    </w:p>
    <w:p w:rsidR="003C7198" w:rsidRDefault="003C7198" w:rsidP="003C7198">
      <w:pPr>
        <w:pStyle w:val="bpuSponsor"/>
      </w:pPr>
      <w:r>
        <w:t>Assemblyman  GARY S. SCHAER</w:t>
      </w:r>
    </w:p>
    <w:p w:rsidR="003C7198" w:rsidRDefault="003C7198" w:rsidP="003C7198">
      <w:pPr>
        <w:pStyle w:val="bpuSponsor"/>
      </w:pPr>
      <w:r>
        <w:t>District 36 (Bergen and Passaic)</w:t>
      </w:r>
    </w:p>
    <w:p w:rsidR="003C7198" w:rsidRDefault="003C7198" w:rsidP="003C7198">
      <w:pPr>
        <w:pStyle w:val="bpuSponsor"/>
      </w:pPr>
      <w:r>
        <w:t>Assemblywoman  VALERIE VAINIERI HUTTLE</w:t>
      </w:r>
    </w:p>
    <w:p w:rsidR="003C7198" w:rsidRDefault="003C7198" w:rsidP="003C7198">
      <w:pPr>
        <w:pStyle w:val="bpuSponsor"/>
      </w:pPr>
      <w:r>
        <w:t>District 37 (Bergen)</w:t>
      </w:r>
    </w:p>
    <w:p w:rsidR="003C7198" w:rsidRDefault="003C7198" w:rsidP="003C7198">
      <w:pPr>
        <w:pStyle w:val="bpuSponsor"/>
      </w:pPr>
      <w:r>
        <w:t>Assemblywoman  ANNETTE QUIJANO</w:t>
      </w:r>
    </w:p>
    <w:p w:rsidR="003C7198" w:rsidRDefault="003C7198" w:rsidP="003C7198">
      <w:pPr>
        <w:pStyle w:val="bpuSponsor"/>
      </w:pPr>
      <w:r>
        <w:t>District 20 (Union)</w:t>
      </w:r>
    </w:p>
    <w:p w:rsidR="003C7198" w:rsidRDefault="003C7198" w:rsidP="003C7198">
      <w:pPr>
        <w:pStyle w:val="bpuSponsor"/>
      </w:pPr>
    </w:p>
    <w:p w:rsidR="003C7198" w:rsidRDefault="00637617" w:rsidP="00637617">
      <w:pPr>
        <w:pStyle w:val="bpuSponsor"/>
      </w:pPr>
      <w:r>
        <w:t>Co-Sponsored by:</w:t>
      </w:r>
    </w:p>
    <w:p w:rsidR="00637617" w:rsidRPr="00637617" w:rsidRDefault="00637617" w:rsidP="00637617">
      <w:pPr>
        <w:pStyle w:val="bpuSponsor"/>
      </w:pPr>
      <w:r w:rsidRPr="00637617">
        <w:t>Assemblywomen Timberlake and McKnight</w:t>
      </w:r>
    </w:p>
    <w:p w:rsidR="003C7198" w:rsidRDefault="003C7198" w:rsidP="003C7198"/>
    <w:p w:rsidR="00637617" w:rsidRDefault="00637617" w:rsidP="003C7198"/>
    <w:p w:rsidR="003C7198" w:rsidRPr="003C7198" w:rsidRDefault="003C7198" w:rsidP="003C7198"/>
    <w:p w:rsidR="003C7198" w:rsidRDefault="003C7198" w:rsidP="003C7198">
      <w:pPr>
        <w:pStyle w:val="bpuSponsor"/>
      </w:pPr>
    </w:p>
    <w:p w:rsidR="003C7198" w:rsidRDefault="003C7198" w:rsidP="003C7198">
      <w:pPr>
        <w:pStyle w:val="bpuSponsor"/>
      </w:pPr>
      <w:r>
        <w:t>SYNOPSIS</w:t>
      </w:r>
    </w:p>
    <w:p w:rsidR="003C7198" w:rsidRDefault="003C7198" w:rsidP="003C7198">
      <w:pPr>
        <w:pStyle w:val="bpuNormText"/>
      </w:pPr>
      <w:r>
        <w:tab/>
        <w:t xml:space="preserve">Expands crime of terrorism. </w:t>
      </w:r>
    </w:p>
    <w:p w:rsidR="003C7198" w:rsidRDefault="003C7198" w:rsidP="003C7198">
      <w:pPr>
        <w:pStyle w:val="bpuNormText"/>
      </w:pPr>
    </w:p>
    <w:p w:rsidR="003C7198" w:rsidRDefault="003C7198" w:rsidP="003C7198">
      <w:pPr>
        <w:pStyle w:val="bpuSponsor"/>
      </w:pPr>
      <w:r>
        <w:t xml:space="preserve">CURRENT VERSION OF TEXT </w:t>
      </w:r>
    </w:p>
    <w:p w:rsidR="003C7198" w:rsidRDefault="003C7198" w:rsidP="003C7198">
      <w:pPr>
        <w:pStyle w:val="bpuNormText"/>
      </w:pPr>
      <w:r>
        <w:tab/>
        <w:t>Introduced Pending Technical Review by Legislative Counsel.</w:t>
      </w:r>
    </w:p>
    <w:p w:rsidR="003C7198" w:rsidRDefault="003C7198" w:rsidP="003C71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7198" w:rsidRDefault="003C71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7198" w:rsidSect="003C7198">
          <w:type w:val="continuous"/>
          <w:pgSz w:w="12240" w:h="20160" w:code="5"/>
          <w:pgMar w:top="2160" w:right="2275" w:bottom="1440" w:left="2275" w:header="72" w:footer="720" w:gutter="0"/>
          <w:pgNumType w:start="1"/>
          <w:cols w:space="720"/>
          <w:docGrid w:linePitch="360"/>
        </w:sectPr>
      </w:pPr>
    </w:p>
    <w:p w:rsidR="00520054" w:rsidRPr="00677316" w:rsidRDefault="00520054" w:rsidP="00520054">
      <w:pPr>
        <w:pStyle w:val="HangingAnAct"/>
        <w:rPr>
          <w:rStyle w:val="HangingAnActChar"/>
        </w:rPr>
      </w:pPr>
      <w:r w:rsidRPr="00520054">
        <w:rPr>
          <w:rStyle w:val="BillHead"/>
        </w:rPr>
        <w:lastRenderedPageBreak/>
        <w:t>An Act</w:t>
      </w:r>
      <w:r w:rsidRPr="006B7FA7">
        <w:rPr>
          <w:rStyle w:val="HangingAnActChar"/>
        </w:rPr>
        <w:t xml:space="preserve"> </w:t>
      </w:r>
      <w:r>
        <w:rPr>
          <w:rStyle w:val="HangingAnActChar"/>
        </w:rPr>
        <w:t>concerning terrorism and amending P.L.2002, c.26.</w:t>
      </w:r>
    </w:p>
    <w:p w:rsidR="00520054" w:rsidRPr="00D71D68" w:rsidRDefault="00520054" w:rsidP="00520054"/>
    <w:p w:rsidR="00520054" w:rsidRPr="00AA7880" w:rsidRDefault="00520054" w:rsidP="00520054">
      <w:r>
        <w:tab/>
      </w:r>
      <w:r>
        <w:rPr>
          <w:rStyle w:val="BillHeading2"/>
        </w:rPr>
        <w:t xml:space="preserve">Be It Enacted </w:t>
      </w:r>
      <w:r>
        <w:rPr>
          <w:rStyle w:val="BillLanguage"/>
        </w:rPr>
        <w:t>by the Senate and General Assembly of the State of New Jersey:</w:t>
      </w:r>
    </w:p>
    <w:p w:rsidR="00520054" w:rsidRDefault="00520054" w:rsidP="00520054"/>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r>
      <w:r w:rsidR="003C7198">
        <w:rPr>
          <w:spacing w:val="0"/>
        </w:rPr>
        <w:t xml:space="preserve"> </w:t>
      </w:r>
      <w:r w:rsidRPr="00317B19">
        <w:rPr>
          <w:spacing w:val="0"/>
        </w:rPr>
        <w:t>1.</w:t>
      </w:r>
      <w:r w:rsidRPr="00317B19">
        <w:rPr>
          <w:spacing w:val="0"/>
        </w:rPr>
        <w:tab/>
        <w:t xml:space="preserve">Section 2 of P.L.2002, c.26 (C.2C:38-2) is amended to read as follows: </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3C7198">
        <w:rPr>
          <w:spacing w:val="0"/>
        </w:rPr>
        <w:t xml:space="preserve"> </w:t>
      </w:r>
      <w:r w:rsidRPr="00317B19">
        <w:rPr>
          <w:spacing w:val="0"/>
        </w:rPr>
        <w:t>2.</w:t>
      </w:r>
      <w:r w:rsidRPr="00317B19">
        <w:rPr>
          <w:spacing w:val="0"/>
        </w:rPr>
        <w:tab/>
        <w:t>a.  A person is guilty of the crime of terrorism if he commits or attempts, conspires or threatens to commit any crime enumerated in subsection c. of this section with the purpose:</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(1)</w:t>
      </w:r>
      <w:r w:rsidRPr="00317B19">
        <w:rPr>
          <w:spacing w:val="0"/>
        </w:rPr>
        <w:tab/>
        <w:t>to promote an act of terror; or</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(2)</w:t>
      </w:r>
      <w:r w:rsidRPr="00317B19">
        <w:rPr>
          <w:spacing w:val="0"/>
        </w:rPr>
        <w:tab/>
        <w:t>to terrorize five or more persons; or</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(3)</w:t>
      </w:r>
      <w:r w:rsidRPr="00317B19">
        <w:rPr>
          <w:spacing w:val="0"/>
        </w:rPr>
        <w:tab/>
        <w:t>to influence the policy or affect the conduct of government by terror; or</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(4)</w:t>
      </w:r>
      <w:r w:rsidRPr="00317B19">
        <w:rPr>
          <w:spacing w:val="0"/>
        </w:rPr>
        <w:tab/>
        <w:t xml:space="preserve">to cause  by an act of terror  the impairment or interruption of public communications, public transportation, public or private buildings, common carriers, public utilities or other public services </w:t>
      </w:r>
      <w:r w:rsidRPr="00317B19">
        <w:rPr>
          <w:spacing w:val="0"/>
          <w:u w:val="single"/>
        </w:rPr>
        <w:t>; or</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17B19">
        <w:rPr>
          <w:spacing w:val="0"/>
        </w:rPr>
        <w:tab/>
      </w:r>
      <w:r w:rsidRPr="00317B19">
        <w:rPr>
          <w:spacing w:val="0"/>
          <w:u w:val="single"/>
        </w:rPr>
        <w:t>(5)</w:t>
      </w:r>
      <w:r w:rsidR="003C7198">
        <w:rPr>
          <w:spacing w:val="0"/>
          <w:u w:val="single"/>
        </w:rPr>
        <w:tab/>
      </w:r>
      <w:r w:rsidRPr="00317B19">
        <w:rPr>
          <w:spacing w:val="0"/>
          <w:u w:val="single"/>
        </w:rPr>
        <w:t>to influence or incite an act of terror against an individual or group of individuals based on their race, religion, sexual orientation, gender, or creed, if the underlying crime is a crime of the first or second degree</w:t>
      </w:r>
      <w:r w:rsidRPr="00317B19">
        <w:rPr>
          <w:spacing w:val="0"/>
        </w:rPr>
        <w:t>.</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3C7198">
        <w:rPr>
          <w:spacing w:val="0"/>
        </w:rPr>
        <w:t xml:space="preserve"> </w:t>
      </w:r>
      <w:r w:rsidRPr="00317B19">
        <w:rPr>
          <w:spacing w:val="0"/>
        </w:rPr>
        <w:t>b.</w:t>
      </w:r>
      <w:r w:rsidRPr="00317B19">
        <w:rPr>
          <w:spacing w:val="0"/>
        </w:rPr>
        <w:tab/>
        <w:t>Terrorism is a crime of the first degree.</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(1)</w:t>
      </w:r>
      <w:r w:rsidRPr="00317B19">
        <w:rPr>
          <w:spacing w:val="0"/>
        </w:rPr>
        <w:tab/>
        <w:t>Notwithstanding any other provision of law to the contrary, any person convicted under this section shall be sentenced to a term of 30 years, during which the person shall not be eligible for parole, or to a specific term of years which shall be between 30 years and life imprisonment, of which the person shall serve not less than 30 years before being eligible for parole.</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(2)</w:t>
      </w:r>
      <w:r w:rsidRPr="00317B19">
        <w:rPr>
          <w:spacing w:val="0"/>
        </w:rPr>
        <w:tab/>
        <w:t>If a violation of this section results in death, the person shall be sentenced to a term of life imprisonment, during which time the person shall not be eligible for parole.</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3C7198">
        <w:rPr>
          <w:spacing w:val="0"/>
        </w:rPr>
        <w:t xml:space="preserve"> </w:t>
      </w:r>
      <w:r w:rsidRPr="00317B19">
        <w:rPr>
          <w:spacing w:val="0"/>
        </w:rPr>
        <w:t>c.</w:t>
      </w:r>
      <w:r w:rsidRPr="00317B19">
        <w:rPr>
          <w:spacing w:val="0"/>
        </w:rPr>
        <w:tab/>
        <w:t>The crimes encompassed by this section are: murder pursuant to N.J.S.2C:11-3; aggravated manslaughter or  manslaughter pursuant to N.J.S.2C:11-4; vehicular homicide pursuant to N.J.S.2C:11-5; aggravated assault pursuant to subsection b. of N.J.S.2C:12-1; disarming a law enforcement officer pursuant to section 1 of P.L.1996, c.14 (C.2C:12-11); kidnapping pursuant to N.J.S.2C:13-1; criminal restraint pursuant to N.J.S.2C:13-2; robbery pursuant to N.J.S.2C:15-1; carjacking pursuant to section 1 of P.L.1993, c.221 (C.2C:15-2); aggravated arson or arson pursuant to N.J.S.2C:17-1; causing or risking widespread injury or damage pursuant to N.J.S.2C:17-2; damage to nuclear plant with the purpose to cause or threat to cause release of radiation pursuant to section 1 of P.L.1983,</w:t>
      </w:r>
      <w:r w:rsidR="003C7198">
        <w:rPr>
          <w:spacing w:val="0"/>
        </w:rPr>
        <w:t> </w:t>
      </w:r>
      <w:r w:rsidRPr="00317B19">
        <w:rPr>
          <w:spacing w:val="0"/>
        </w:rPr>
        <w:t>c.480</w:t>
      </w:r>
      <w:r w:rsidR="003C7198">
        <w:rPr>
          <w:spacing w:val="0"/>
        </w:rPr>
        <w:t> </w:t>
      </w:r>
      <w:r w:rsidRPr="00317B19">
        <w:rPr>
          <w:spacing w:val="0"/>
        </w:rPr>
        <w:t>(C.2C:17-7);</w:t>
      </w:r>
      <w:r w:rsidR="003C7198">
        <w:rPr>
          <w:spacing w:val="0"/>
        </w:rPr>
        <w:t> </w:t>
      </w:r>
      <w:r w:rsidRPr="00317B19">
        <w:rPr>
          <w:spacing w:val="0"/>
        </w:rPr>
        <w:t xml:space="preserve">damage to nuclear plant resulting in death by radiation pursuant to section 2 of P.L.1983, c.480 (C.2C:17-8); damage to nuclear plant </w:t>
      </w:r>
      <w:r w:rsidRPr="00317B19">
        <w:rPr>
          <w:spacing w:val="0"/>
        </w:rPr>
        <w:lastRenderedPageBreak/>
        <w:t xml:space="preserve">resulting in injury by radiation pursuant to section 3 of P.L.1983, c.480 (C.2C:17-9); </w:t>
      </w:r>
      <w:r w:rsidRPr="00317B19">
        <w:rPr>
          <w:spacing w:val="0"/>
          <w:u w:val="single"/>
        </w:rPr>
        <w:t>burglary pursuant to N.J.S.2C:18-2;</w:t>
      </w:r>
      <w:r w:rsidRPr="00317B19">
        <w:rPr>
          <w:spacing w:val="0"/>
        </w:rPr>
        <w:t xml:space="preserve"> producing or possessing chemical weapons, biological agents or nuclear or radiological devices pursuant to section 3 of P.L.2002, c.26 (C.2C:38-3); </w:t>
      </w:r>
      <w:r w:rsidRPr="00317B19">
        <w:rPr>
          <w:rFonts w:ascii="Albertus Extra Bold" w:hAnsi="Albertus Extra Bold"/>
          <w:b/>
        </w:rPr>
        <w:t>[</w:t>
      </w:r>
      <w:r w:rsidRPr="00317B19">
        <w:rPr>
          <w:spacing w:val="0"/>
        </w:rPr>
        <w:t>burglary pursuant to N.J.S.2C:18-2;</w:t>
      </w:r>
      <w:r w:rsidRPr="00317B19">
        <w:rPr>
          <w:rFonts w:ascii="Albertus Extra Bold" w:hAnsi="Albertus Extra Bold"/>
          <w:b/>
        </w:rPr>
        <w:t>]</w:t>
      </w:r>
      <w:r w:rsidRPr="00317B19">
        <w:rPr>
          <w:spacing w:val="0"/>
        </w:rPr>
        <w:t xml:space="preserve"> possession of prohibited weapons and devices pursuant to N.J.S.2C:39-3; possession of weapons for unlawful purposes pursuant to N.J.S.2C:39-4; unlawful possession of weapons pursuant to N.J.S.2C:39-5; weapons training for illegal activities pursuant to section 1 of P.L.1983, c.229 (C.2C:39-14); racketeering pursuant to N.J.S.2C:41-1 et seq.; and any other crime involving a risk of death or serious bodily injury to any person.</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d.</w:t>
      </w:r>
      <w:r w:rsidRPr="00317B19">
        <w:rPr>
          <w:spacing w:val="0"/>
        </w:rPr>
        <w:tab/>
        <w:t>Definitions. For the purposes of this section:</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"Government" means the United States, any state, county, municipality, or other political unit, or any department, agency or subdivision of any of the foregoing, or any corporation or other association carrying out the functions of government.</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"Serious bodily injury" means bodily injury which creates a substantial risk of death or which causes serious, permanent disfigurement, or protracted loss or impairment of the function of any bodily member or organ.</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"Terror" means the menace or fear of death or serious bodily injury.</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"Terrorize" means to convey the menace or fear of death or serious bodily injury by words or actions.</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e.</w:t>
      </w:r>
      <w:r w:rsidRPr="00317B19">
        <w:rPr>
          <w:spacing w:val="0"/>
        </w:rPr>
        <w:tab/>
        <w:t>A prosecution pursuant to this section may be brought by the Attorney General, his assistants and deputies within the Division of Criminal Justice, or by a county prosecutor or a designated assistant prosecutor if the county prosecutor is expressly authorized in writing by the Attorney General to prosecute a violation of this section.</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f.</w:t>
      </w:r>
      <w:r w:rsidRPr="00317B19">
        <w:rPr>
          <w:spacing w:val="0"/>
        </w:rPr>
        <w:tab/>
        <w:t>Notwithstanding the provisions of N.J.S.2C:1-8 or any other  provision of law, a conviction of terrorism under this section shall not merge with a conviction of any other offense, nor shall such other conviction merge with a conviction under this section, and the court shall impose separate sentences upon each violation of this section and any other offense.</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B19">
        <w:rPr>
          <w:spacing w:val="0"/>
        </w:rPr>
        <w:tab/>
        <w:t>g.</w:t>
      </w:r>
      <w:r w:rsidRPr="00317B19">
        <w:rPr>
          <w:spacing w:val="0"/>
        </w:rPr>
        <w:tab/>
        <w:t>Nothing contained in this section shall be deemed to preclude, if the evidence so warrants, an indictment and conviction for murder under the provisions of N.J.S.2C:11-3 or any other offense.</w:t>
      </w:r>
    </w:p>
    <w:p w:rsidR="00520054" w:rsidRPr="00317B19" w:rsidRDefault="003C7198"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00520054" w:rsidRPr="00317B19">
        <w:rPr>
          <w:spacing w:val="0"/>
        </w:rPr>
        <w:t>P.L.2002, c.26, s.2)</w:t>
      </w:r>
    </w:p>
    <w:p w:rsidR="00520054" w:rsidRPr="00317B19" w:rsidRDefault="00520054" w:rsidP="005200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20054" w:rsidRDefault="00520054" w:rsidP="00520054">
      <w:r>
        <w:tab/>
        <w:t>2.</w:t>
      </w:r>
      <w:r>
        <w:tab/>
        <w:t xml:space="preserve">This act shall take effect immediately. </w:t>
      </w:r>
    </w:p>
    <w:p w:rsidR="00520054" w:rsidRDefault="00520054" w:rsidP="00520054"/>
    <w:p w:rsidR="00E7752C" w:rsidRDefault="00E7752C" w:rsidP="00E7752C"/>
    <w:p w:rsidR="00326F5B" w:rsidRDefault="00326F5B" w:rsidP="00326F5B">
      <w:pPr>
        <w:jc w:val="center"/>
      </w:pPr>
      <w:r>
        <w:t>STATEMENT</w:t>
      </w:r>
    </w:p>
    <w:p w:rsidR="00326F5B" w:rsidRDefault="00326F5B" w:rsidP="00326F5B">
      <w:pPr>
        <w:jc w:val="center"/>
      </w:pPr>
    </w:p>
    <w:p w:rsidR="00285638" w:rsidRDefault="00326F5B" w:rsidP="00285638">
      <w:r>
        <w:tab/>
      </w:r>
      <w:r w:rsidR="00082199">
        <w:t>This bill</w:t>
      </w:r>
      <w:r w:rsidR="00285638">
        <w:t xml:space="preserve"> expands the crime of terrorism to include persons who commit certain crimes with the purpose to influence or incite an act </w:t>
      </w:r>
      <w:r w:rsidR="00285638">
        <w:lastRenderedPageBreak/>
        <w:t>of terror against an individual based on the individual’s race, religion, sexual orientation, gender, or creed.</w:t>
      </w:r>
    </w:p>
    <w:p w:rsidR="00285638" w:rsidRDefault="00285638" w:rsidP="00285638">
      <w:r>
        <w:tab/>
        <w:t>Under current law, a person is guilty of terrorism if he or she commits, attempts, conspires, or threatens to commit certain crimes with the purpose to: 1) promote an act of terror; 2) terrorize five or more persons; 3) influence the policy or affect the conduct of government by terror; or 4) cause, by an act of terror, the impairment or interruption of public communications, public transportation, public or private buildings, common carriers, public utilities, or other public services.</w:t>
      </w:r>
    </w:p>
    <w:p w:rsidR="00326F5B" w:rsidRDefault="00082199" w:rsidP="00D15E4C">
      <w:r>
        <w:tab/>
        <w:t>The</w:t>
      </w:r>
      <w:r w:rsidR="00285638">
        <w:t xml:space="preserve"> bill provides that a person also would be guilty of terrorism if he or she commits certain crimes of the first or second degree with the purpose to influence or incite an act of terror against an individual or a group of individuals based upon the individual’s race, religion, sexual orientation, gender, or creed.</w:t>
      </w:r>
    </w:p>
    <w:sectPr w:rsidR="00326F5B" w:rsidSect="003C7198">
      <w:headerReference w:type="default" r:id="rId14"/>
      <w:footerReference w:type="default" r:id="rId15"/>
      <w:headerReference w:type="first" r:id="rId16"/>
      <w:footerReference w:type="first" r:id="rId17"/>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C41" w:rsidRDefault="00321C41">
      <w:r>
        <w:separator/>
      </w:r>
    </w:p>
  </w:endnote>
  <w:endnote w:type="continuationSeparator" w:id="0">
    <w:p w:rsidR="00321C41" w:rsidRDefault="0032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617" w:rsidRDefault="00637617" w:rsidP="00637617">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198" w:rsidRDefault="003C7198">
    <w:pPr>
      <w:pStyle w:val="Footer"/>
      <w:rPr>
        <w:szCs w:val="18"/>
      </w:rPr>
    </w:pPr>
  </w:p>
  <w:p w:rsidR="003C7198" w:rsidRPr="00921C91" w:rsidRDefault="003C71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7198" w:rsidRPr="00921C91" w:rsidRDefault="003C7198">
    <w:pPr>
      <w:pStyle w:val="Footer"/>
      <w:rPr>
        <w:szCs w:val="18"/>
      </w:rPr>
    </w:pPr>
  </w:p>
  <w:p w:rsidR="003C7198" w:rsidRPr="00921C91" w:rsidRDefault="003C71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C41" w:rsidRDefault="00321C41">
      <w:r>
        <w:separator/>
      </w:r>
    </w:p>
  </w:footnote>
  <w:footnote w:type="continuationSeparator" w:id="0">
    <w:p w:rsidR="00321C41" w:rsidRDefault="0032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53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7198" w:rsidRDefault="003C7198" w:rsidP="003C7198">
    <w:pPr>
      <w:pStyle w:val="bpuHeadSpon"/>
    </w:pPr>
    <w:r w:rsidRPr="003C7198">
      <w:rPr>
        <w:rStyle w:val="bpuHeadSponChar"/>
      </w:rPr>
      <w:t>A1246</w:t>
    </w:r>
    <w:r>
      <w:t xml:space="preserve"> SCHAER, VAINIERI HUTTLE</w:t>
    </w:r>
  </w:p>
  <w:p w:rsidR="003C7198" w:rsidRDefault="003C7198" w:rsidP="003C7198">
    <w:pPr>
      <w:pStyle w:val="bpuHeadSpon"/>
    </w:pPr>
    <w:r>
      <w:fldChar w:fldCharType="begin"/>
    </w:r>
    <w:r>
      <w:instrText xml:space="preserve"> PAGE  \* MERGEFORMAT </w:instrText>
    </w:r>
    <w:r>
      <w:fldChar w:fldCharType="separate"/>
    </w:r>
    <w:r w:rsidR="00AC7570">
      <w:rPr>
        <w:noProof/>
      </w:rPr>
      <w:t>4</w:t>
    </w:r>
    <w:r>
      <w:fldChar w:fldCharType="end"/>
    </w:r>
  </w:p>
  <w:p w:rsidR="003C7198" w:rsidRPr="00AF575C" w:rsidRDefault="003C7198" w:rsidP="003C71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7198" w:rsidRDefault="003C7198" w:rsidP="003C7198">
    <w:pPr>
      <w:pStyle w:val="bpuHeadSpon"/>
    </w:pPr>
    <w:r w:rsidRPr="003C7198">
      <w:rPr>
        <w:rStyle w:val="bpuHeadSponChar"/>
      </w:rPr>
      <w:t>A1246</w:t>
    </w:r>
    <w:r>
      <w:t xml:space="preserve"> SCHAER, VAINIERI HUTTLE</w:t>
    </w:r>
  </w:p>
  <w:p w:rsidR="003C7198" w:rsidRDefault="003C7198" w:rsidP="003C7198">
    <w:pPr>
      <w:pStyle w:val="bpuHeadSpon"/>
    </w:pPr>
    <w:r>
      <w:fldChar w:fldCharType="begin"/>
    </w:r>
    <w:r>
      <w:instrText xml:space="preserve"> PAGE  \* MERGEFORMAT </w:instrText>
    </w:r>
    <w:r>
      <w:fldChar w:fldCharType="separate"/>
    </w:r>
    <w:r w:rsidR="00AC7570">
      <w:rPr>
        <w:noProof/>
      </w:rPr>
      <w:t>2</w:t>
    </w:r>
    <w:r>
      <w:fldChar w:fldCharType="end"/>
    </w:r>
  </w:p>
  <w:p w:rsidR="003C7198" w:rsidRDefault="003C7198" w:rsidP="003C71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C4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19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638"/>
    <w:rsid w:val="00296363"/>
    <w:rsid w:val="002A16E7"/>
    <w:rsid w:val="002A71FA"/>
    <w:rsid w:val="002B4DA4"/>
    <w:rsid w:val="002B67F7"/>
    <w:rsid w:val="002C58D4"/>
    <w:rsid w:val="002E1440"/>
    <w:rsid w:val="002E2980"/>
    <w:rsid w:val="00304565"/>
    <w:rsid w:val="00307F11"/>
    <w:rsid w:val="0031075B"/>
    <w:rsid w:val="00317C73"/>
    <w:rsid w:val="003212E6"/>
    <w:rsid w:val="00321C41"/>
    <w:rsid w:val="00326F5B"/>
    <w:rsid w:val="00333EF1"/>
    <w:rsid w:val="00346CF5"/>
    <w:rsid w:val="00352F8B"/>
    <w:rsid w:val="00354D07"/>
    <w:rsid w:val="0037458C"/>
    <w:rsid w:val="00381407"/>
    <w:rsid w:val="0038486B"/>
    <w:rsid w:val="00390F9D"/>
    <w:rsid w:val="003941E5"/>
    <w:rsid w:val="003A19B9"/>
    <w:rsid w:val="003A213D"/>
    <w:rsid w:val="003B565A"/>
    <w:rsid w:val="003B7F50"/>
    <w:rsid w:val="003C32D1"/>
    <w:rsid w:val="003C6FBF"/>
    <w:rsid w:val="003C7198"/>
    <w:rsid w:val="003D2B0D"/>
    <w:rsid w:val="003D5173"/>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054"/>
    <w:rsid w:val="00520989"/>
    <w:rsid w:val="005311D7"/>
    <w:rsid w:val="00541E58"/>
    <w:rsid w:val="00545F17"/>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7617"/>
    <w:rsid w:val="0064213F"/>
    <w:rsid w:val="006461F6"/>
    <w:rsid w:val="006572E9"/>
    <w:rsid w:val="00660602"/>
    <w:rsid w:val="006612A0"/>
    <w:rsid w:val="00667A05"/>
    <w:rsid w:val="00671CE6"/>
    <w:rsid w:val="00674500"/>
    <w:rsid w:val="006808C6"/>
    <w:rsid w:val="00680D5F"/>
    <w:rsid w:val="00686754"/>
    <w:rsid w:val="006878F9"/>
    <w:rsid w:val="0069522C"/>
    <w:rsid w:val="00695BC5"/>
    <w:rsid w:val="006A1CAE"/>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A1F"/>
    <w:rsid w:val="00841F07"/>
    <w:rsid w:val="008462AA"/>
    <w:rsid w:val="00846D3E"/>
    <w:rsid w:val="0084725C"/>
    <w:rsid w:val="008627AA"/>
    <w:rsid w:val="008628FF"/>
    <w:rsid w:val="00867FC7"/>
    <w:rsid w:val="00874609"/>
    <w:rsid w:val="0087660A"/>
    <w:rsid w:val="008823BC"/>
    <w:rsid w:val="008859B3"/>
    <w:rsid w:val="00897702"/>
    <w:rsid w:val="008B313B"/>
    <w:rsid w:val="008B4545"/>
    <w:rsid w:val="008B6E84"/>
    <w:rsid w:val="008C6FA9"/>
    <w:rsid w:val="008D35C6"/>
    <w:rsid w:val="008D455C"/>
    <w:rsid w:val="008D62DB"/>
    <w:rsid w:val="008E3B9B"/>
    <w:rsid w:val="008E4F67"/>
    <w:rsid w:val="008F6A7A"/>
    <w:rsid w:val="00901BE8"/>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E27"/>
    <w:rsid w:val="00AA2A56"/>
    <w:rsid w:val="00AA3B15"/>
    <w:rsid w:val="00AA6194"/>
    <w:rsid w:val="00AA64D0"/>
    <w:rsid w:val="00AB4C5C"/>
    <w:rsid w:val="00AC4B4B"/>
    <w:rsid w:val="00AC7570"/>
    <w:rsid w:val="00AD7C41"/>
    <w:rsid w:val="00AE1E57"/>
    <w:rsid w:val="00AF6ECE"/>
    <w:rsid w:val="00B00B00"/>
    <w:rsid w:val="00B034C1"/>
    <w:rsid w:val="00B0560C"/>
    <w:rsid w:val="00B07DA6"/>
    <w:rsid w:val="00B11520"/>
    <w:rsid w:val="00B14011"/>
    <w:rsid w:val="00B14D35"/>
    <w:rsid w:val="00B20053"/>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B2E"/>
    <w:rsid w:val="00C035F3"/>
    <w:rsid w:val="00C078A1"/>
    <w:rsid w:val="00C3401C"/>
    <w:rsid w:val="00C473B8"/>
    <w:rsid w:val="00C603F9"/>
    <w:rsid w:val="00C614C5"/>
    <w:rsid w:val="00C7604C"/>
    <w:rsid w:val="00C83317"/>
    <w:rsid w:val="00C937A1"/>
    <w:rsid w:val="00C93F56"/>
    <w:rsid w:val="00CB344E"/>
    <w:rsid w:val="00CF1DEA"/>
    <w:rsid w:val="00CF2757"/>
    <w:rsid w:val="00CF2761"/>
    <w:rsid w:val="00CF506C"/>
    <w:rsid w:val="00CF7045"/>
    <w:rsid w:val="00D0612B"/>
    <w:rsid w:val="00D06296"/>
    <w:rsid w:val="00D0784A"/>
    <w:rsid w:val="00D1283E"/>
    <w:rsid w:val="00D158BB"/>
    <w:rsid w:val="00D15E4C"/>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4794"/>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59137A"/>
  <w15:docId w15:val="{A284281B-FEB0-4752-B18B-CC946E277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01B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1BE8"/>
    <w:rPr>
      <w:rFonts w:ascii="Segoe UI" w:hAnsi="Segoe UI" w:cs="Segoe UI"/>
      <w:spacing w:val="4"/>
      <w:sz w:val="18"/>
      <w:szCs w:val="18"/>
    </w:rPr>
  </w:style>
  <w:style w:type="character" w:styleId="LineNumber">
    <w:name w:val="line number"/>
    <w:basedOn w:val="DefaultParagraphFont"/>
    <w:semiHidden/>
    <w:unhideWhenUsed/>
    <w:rsid w:val="003C7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94A30-9DA3-4E68-BFE0-0B02112A9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1004</Words>
  <Characters>5428</Characters>
  <Application>Microsoft Office Word</Application>
  <DocSecurity>0</DocSecurity>
  <Lines>137</Lines>
  <Paragraphs>44</Paragraphs>
  <ScaleCrop>false</ScaleCrop>
  <HeadingPairs>
    <vt:vector size="2" baseType="variant">
      <vt:variant>
        <vt:lpstr>Title</vt:lpstr>
      </vt:variant>
      <vt:variant>
        <vt:i4>1</vt:i4>
      </vt:variant>
    </vt:vector>
  </HeadingPairs>
  <TitlesOfParts>
    <vt:vector size="1" baseType="lpstr">
      <vt:lpstr>A1246</vt:lpstr>
    </vt:vector>
  </TitlesOfParts>
  <Manager>R224</Manager>
  <Company>OFFICE of LEGISLATIVE SERVICES</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A1246</dc:title>
  <dc:creator>Assemblyman  SCHAER, Assemblywoman  VAINIERI HUTTLE</dc:creator>
  <cp:keywords>A1246|4|LP |276|0|0|!|0|</cp:keywords>
  <dc:description>PREFILED 2020</dc:description>
  <cp:lastModifiedBy>Todaro, Vivian</cp:lastModifiedBy>
  <cp:revision>2</cp:revision>
  <cp:lastPrinted>2021-01-14T16:29:00Z</cp:lastPrinted>
  <dcterms:created xsi:type="dcterms:W3CDTF">2021-01-14T16:29:00Z</dcterms:created>
  <dcterms:modified xsi:type="dcterms:W3CDTF">2021-01-14T16:29:00Z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