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CF362A" w:rsidP="00407C9E">
      <w:pPr>
        <w:pStyle w:val="NoteOrEstimate"/>
      </w:pPr>
      <w:r>
        <w:t>LEGISLATIVE FISCAL ESTIMATE</w:t>
      </w:r>
    </w:p>
    <w:p w:rsidR="00CF362A" w:rsidRPr="00CF362A" w:rsidRDefault="00CF362A" w:rsidP="00CF362A">
      <w:pPr>
        <w:pStyle w:val="Reprint"/>
      </w:pPr>
      <w:r>
        <w:t>[First Reprint]</w:t>
      </w:r>
    </w:p>
    <w:p w:rsidR="003C5892" w:rsidRDefault="00CF362A"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1254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237E5" w:rsidP="00B237E5">
      <w:pPr>
        <w:pStyle w:val="BillNo"/>
      </w:pPr>
      <w:r>
        <w:t>219th LEGISLATURE</w:t>
      </w:r>
    </w:p>
    <w:p w:rsidR="00353325" w:rsidRDefault="00353325" w:rsidP="00353325"/>
    <w:p w:rsidR="00B237E5" w:rsidRDefault="00B237E5" w:rsidP="00B237E5">
      <w:pPr>
        <w:jc w:val="center"/>
      </w:pPr>
      <w:r>
        <w:t>DATED: AUGUST 3, 2020</w:t>
      </w:r>
    </w:p>
    <w:p w:rsidR="00B237E5" w:rsidRDefault="00B237E5" w:rsidP="00353325"/>
    <w:p w:rsidR="00B237E5" w:rsidRDefault="00B237E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665F1E">
        <w:trPr>
          <w:trHeight w:val="576"/>
        </w:trPr>
        <w:tc>
          <w:tcPr>
            <w:tcW w:w="2333" w:type="dxa"/>
          </w:tcPr>
          <w:p w:rsidR="00665F1E" w:rsidRPr="003C5892" w:rsidRDefault="00665F1E" w:rsidP="00665F1E">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665F1E" w:rsidRPr="00DA215F" w:rsidRDefault="00665F1E" w:rsidP="00665F1E">
            <w:r w:rsidRPr="00DA215F">
              <w:t>Establishes geriatric parole for certain eligible inmates.</w:t>
            </w:r>
          </w:p>
        </w:tc>
      </w:tr>
      <w:tr w:rsidR="00665F1E">
        <w:trPr>
          <w:trHeight w:val="576"/>
        </w:trPr>
        <w:tc>
          <w:tcPr>
            <w:tcW w:w="2333" w:type="dxa"/>
          </w:tcPr>
          <w:p w:rsidR="00665F1E" w:rsidRPr="003C5892" w:rsidRDefault="00665F1E" w:rsidP="00665F1E">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665F1E" w:rsidRPr="00DA215F" w:rsidRDefault="00665F1E" w:rsidP="00665F1E">
            <w:r w:rsidRPr="00DA215F">
              <w:t xml:space="preserve">Annual </w:t>
            </w:r>
            <w:r w:rsidR="00C85655">
              <w:t xml:space="preserve">net </w:t>
            </w:r>
            <w:r w:rsidRPr="00DA215F">
              <w:t>State expenditure impact</w:t>
            </w:r>
          </w:p>
        </w:tc>
      </w:tr>
      <w:tr w:rsidR="00665F1E">
        <w:trPr>
          <w:trHeight w:val="576"/>
        </w:trPr>
        <w:tc>
          <w:tcPr>
            <w:tcW w:w="2333" w:type="dxa"/>
          </w:tcPr>
          <w:p w:rsidR="00665F1E" w:rsidRPr="003C5892" w:rsidRDefault="00665F1E" w:rsidP="00665F1E">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665F1E" w:rsidRDefault="00665F1E" w:rsidP="00665F1E">
            <w:r w:rsidRPr="00DA215F">
              <w:t>Department of Corrections; State Parole Board</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4130"/>
        <w:gridCol w:w="540"/>
        <w:gridCol w:w="2195"/>
        <w:gridCol w:w="2495"/>
        <w:gridCol w:w="15"/>
      </w:tblGrid>
      <w:tr w:rsidR="00C75246" w:rsidTr="00C85655">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C85655">
        <w:trPr>
          <w:gridAfter w:val="1"/>
          <w:wAfter w:w="15" w:type="dxa"/>
          <w:trHeight w:val="410"/>
        </w:trPr>
        <w:tc>
          <w:tcPr>
            <w:tcW w:w="413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4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1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C85655">
        <w:trPr>
          <w:gridAfter w:val="1"/>
          <w:wAfter w:w="15" w:type="dxa"/>
          <w:trHeight w:val="410"/>
        </w:trPr>
        <w:tc>
          <w:tcPr>
            <w:tcW w:w="4130" w:type="dxa"/>
            <w:tcBorders>
              <w:top w:val="nil"/>
              <w:left w:val="single" w:sz="6" w:space="0" w:color="auto"/>
              <w:bottom w:val="nil"/>
              <w:right w:val="nil"/>
            </w:tcBorders>
            <w:tcMar>
              <w:bottom w:w="29" w:type="dxa"/>
            </w:tcMar>
            <w:vAlign w:val="bottom"/>
          </w:tcPr>
          <w:p w:rsidR="00C75246" w:rsidRPr="00F11982" w:rsidRDefault="00665F1E"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00C85655">
              <w:rPr>
                <w:b/>
              </w:rPr>
              <w:t xml:space="preserve">Net </w:t>
            </w:r>
            <w:r w:rsidRPr="00F72814">
              <w:rPr>
                <w:b/>
              </w:rPr>
              <w:t xml:space="preserve">State </w:t>
            </w:r>
            <w:r>
              <w:rPr>
                <w:b/>
              </w:rPr>
              <w:t>Expenditure Impact</w:t>
            </w:r>
          </w:p>
        </w:tc>
        <w:tc>
          <w:tcPr>
            <w:tcW w:w="54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195" w:type="dxa"/>
            <w:tcBorders>
              <w:top w:val="nil"/>
              <w:left w:val="nil"/>
              <w:bottom w:val="nil"/>
              <w:right w:val="nil"/>
            </w:tcBorders>
            <w:tcMar>
              <w:bottom w:w="29" w:type="dxa"/>
            </w:tcMar>
            <w:vAlign w:val="bottom"/>
          </w:tcPr>
          <w:p w:rsidR="00C75246" w:rsidRDefault="00665F1E"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C85655">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665F1E" w:rsidRDefault="00665F1E" w:rsidP="00B237E5">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 the bill would result in: 1) an indeterminate annual decrease in expenditures for the Department of Corrections (DOC) from no longer housing and providing healthcare to certain geriatric inmates</w:t>
      </w:r>
      <w:r w:rsidR="00277A0C">
        <w:t>,</w:t>
      </w:r>
      <w:r>
        <w:t xml:space="preserve"> and 2) an indeterminate annual increase in expenditures for the State Parole Board (SPB) from hearing more cases and supervising additional parolees.</w:t>
      </w:r>
      <w:r w:rsidRPr="006F5A64">
        <w:t xml:space="preserve"> </w:t>
      </w:r>
      <w:r>
        <w:t xml:space="preserve"> The OLS lacks sufficient information to quantify the net fiscal impact on State expenditures of these two countervailing effects as it is not known how many inmates would be granted parole under the program and what it costs the State to provide healthcare to this population while in DOC facilities.</w:t>
      </w:r>
    </w:p>
    <w:p w:rsidR="00B237E5" w:rsidRDefault="00B237E5" w:rsidP="00B237E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17624" w:rsidRDefault="00665F1E" w:rsidP="00017624">
      <w:pPr>
        <w:rPr>
          <w:spacing w:val="4"/>
        </w:rPr>
      </w:pPr>
      <w:r>
        <w:rPr>
          <w:spacing w:val="4"/>
        </w:rPr>
        <w:t xml:space="preserve">     </w:t>
      </w:r>
      <w:r w:rsidR="00017624">
        <w:t>This bill</w:t>
      </w:r>
      <w:r w:rsidR="00017624">
        <w:rPr>
          <w:spacing w:val="4"/>
        </w:rPr>
        <w:t xml:space="preserve"> establishes geriatric parole for inmates 65 years of age or older who have served a minimum of one-third their sentence and for inmates 60 years of age or older who have served one-half of their sentence.  The appropriate board panel reviewing a request for geriatric parole is to consider the inmate’s risk to public safety.  Inmates who are serving a sentence for a sex offense as defined in Megan’s Law or for committing or attempting to commit the following offenses are not eligible for geriatric parole: murder, manslaughter, kidnapping, robbery, second degree arson, or terrorism.  Additionally, inmates are not eligible for geriatric parole if serving a sentence for theft by deception, racketeering, or misapplication of entrusted property </w:t>
      </w:r>
      <w:r w:rsidR="00017624">
        <w:rPr>
          <w:spacing w:val="4"/>
        </w:rPr>
        <w:lastRenderedPageBreak/>
        <w:t>by a fiduciary in which the inmate caused the victim to suffer a loss of personal monetary savings as a result of fraud, misrepresentation, or violation of a fiduciary duty.</w:t>
      </w:r>
    </w:p>
    <w:p w:rsidR="00017624" w:rsidRDefault="00C85655" w:rsidP="00017624">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This</w:t>
      </w:r>
      <w:r w:rsidR="00017624">
        <w:rPr>
          <w:spacing w:val="4"/>
        </w:rPr>
        <w:t xml:space="preserve"> bill requires the board panel to notify the appropriate sentencing court, county prosecutor or Attorney General, and any victim or member of the family of a victim who are entitled to notice regarding parole.  The sentencing court, county prosecutor or Attorney General, and any victim or member of the family of a victim would be afforded the opportunity to submit comments to the board panel.  </w:t>
      </w:r>
    </w:p>
    <w:p w:rsidR="00665F1E" w:rsidRPr="004D148A" w:rsidRDefault="00B237E5" w:rsidP="00017624">
      <w:pPr>
        <w:rPr>
          <w:spacing w:val="4"/>
        </w:rPr>
      </w:pPr>
      <w:r>
        <w:rPr>
          <w:spacing w:val="4"/>
        </w:rPr>
        <w:t xml:space="preserve">    </w:t>
      </w:r>
      <w:r w:rsidR="00C85655">
        <w:rPr>
          <w:spacing w:val="4"/>
        </w:rPr>
        <w:t>Under the</w:t>
      </w:r>
      <w:r w:rsidR="00017624">
        <w:rPr>
          <w:spacing w:val="4"/>
        </w:rPr>
        <w:t xml:space="preserve"> bill, a denial of a request for geriatric parole does not preclude an inmate’s eligibility for parole under current law</w:t>
      </w:r>
      <w:r w:rsidR="00665F1E" w:rsidRPr="004D148A">
        <w:rPr>
          <w:spacing w:val="4"/>
        </w:rPr>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665F1E" w:rsidP="002D7863">
      <w:pPr>
        <w:tabs>
          <w:tab w:val="left" w:pos="360"/>
          <w:tab w:val="left" w:pos="720"/>
          <w:tab w:val="left" w:pos="1440"/>
          <w:tab w:val="left" w:pos="2160"/>
          <w:tab w:val="left" w:pos="2880"/>
          <w:tab w:val="left" w:pos="3600"/>
          <w:tab w:val="left" w:pos="4320"/>
          <w:tab w:val="left" w:pos="5040"/>
        </w:tabs>
      </w:pPr>
      <w:r>
        <w:tab/>
      </w:r>
      <w:r w:rsidR="00255944">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65F1E" w:rsidRDefault="00255944" w:rsidP="00665F1E">
      <w:pPr>
        <w:tabs>
          <w:tab w:val="left" w:pos="360"/>
          <w:tab w:val="left" w:pos="720"/>
          <w:tab w:val="left" w:pos="1440"/>
          <w:tab w:val="left" w:pos="2160"/>
          <w:tab w:val="left" w:pos="2880"/>
          <w:tab w:val="left" w:pos="3600"/>
          <w:tab w:val="left" w:pos="4320"/>
          <w:tab w:val="left" w:pos="5040"/>
        </w:tabs>
      </w:pPr>
      <w:r>
        <w:tab/>
      </w:r>
      <w:r w:rsidR="00665F1E">
        <w:t>The OLS estimates that the bill would result in: 1) an indeterminate annual decrease in expenditures for the DOC from no longer housing and providing healthcare to geriatric inmates and 2) an indeterminate annual increase in expenditures for the SPB from hearing more cases and supervising additional parolees.</w:t>
      </w:r>
      <w:r w:rsidR="00665F1E" w:rsidRPr="006F5A64">
        <w:t xml:space="preserve"> </w:t>
      </w:r>
      <w:r w:rsidR="00665F1E">
        <w:t xml:space="preserve"> The OLS lacks sufficient information to quantify the net fiscal impact on State expenditures of these two countervailing effects as it is not known how many inmates would be granted parole under the program and what it costs the State to provide healthcare to this population while in DOC facilities.</w:t>
      </w:r>
    </w:p>
    <w:p w:rsidR="00665F1E" w:rsidRDefault="00665F1E" w:rsidP="00665F1E">
      <w:pPr>
        <w:tabs>
          <w:tab w:val="left" w:pos="360"/>
          <w:tab w:val="left" w:pos="720"/>
          <w:tab w:val="left" w:pos="1440"/>
          <w:tab w:val="left" w:pos="2160"/>
          <w:tab w:val="left" w:pos="2880"/>
          <w:tab w:val="left" w:pos="3600"/>
          <w:tab w:val="left" w:pos="4320"/>
          <w:tab w:val="left" w:pos="5040"/>
        </w:tabs>
      </w:pPr>
      <w:r>
        <w:tab/>
      </w:r>
      <w:r w:rsidR="00562795">
        <w:t>According to data made available by the</w:t>
      </w:r>
      <w:r>
        <w:t xml:space="preserve"> DOC</w:t>
      </w:r>
      <w:r w:rsidR="00562795">
        <w:t>,</w:t>
      </w:r>
      <w:r>
        <w:t xml:space="preserve"> </w:t>
      </w:r>
      <w:r w:rsidR="00562795">
        <w:t>as of</w:t>
      </w:r>
      <w:r>
        <w:t xml:space="preserve"> January 1, 2020, </w:t>
      </w:r>
      <w:r w:rsidR="00562795">
        <w:t>there were</w:t>
      </w:r>
      <w:r>
        <w:t xml:space="preserve"> a total of 480 offenders age 65 and older</w:t>
      </w:r>
      <w:r w:rsidR="0012314B">
        <w:t xml:space="preserve"> and 515 offenders age 60-64</w:t>
      </w:r>
      <w:r>
        <w:t>, the population to be affected by geriatric p</w:t>
      </w:r>
      <w:r w:rsidR="00D06E99">
        <w:t xml:space="preserve">arole policy.  However, the number of these inmates who </w:t>
      </w:r>
      <w:r>
        <w:t>would be eligible for and granted geriatric parole is indeterminate.</w:t>
      </w:r>
    </w:p>
    <w:p w:rsidR="00665F1E" w:rsidRDefault="00665F1E" w:rsidP="00665F1E">
      <w:pPr>
        <w:tabs>
          <w:tab w:val="left" w:pos="360"/>
          <w:tab w:val="left" w:pos="720"/>
          <w:tab w:val="left" w:pos="1440"/>
          <w:tab w:val="left" w:pos="2160"/>
          <w:tab w:val="left" w:pos="2880"/>
          <w:tab w:val="left" w:pos="3600"/>
          <w:tab w:val="left" w:pos="4320"/>
          <w:tab w:val="left" w:pos="5040"/>
        </w:tabs>
      </w:pPr>
      <w:r>
        <w:tab/>
        <w:t xml:space="preserve">The OLS estimates that the likely reduction in prison population by instituting geriatric parole would lower healthcare and housing costs by reducing the number of the most expensive inmates in terms of healthcare costs in DOC facilities and care.  The geriatric population, as of January 2020, </w:t>
      </w:r>
      <w:r w:rsidR="00324E73">
        <w:t>i</w:t>
      </w:r>
      <w:r>
        <w:t xml:space="preserve">s </w:t>
      </w:r>
      <w:r w:rsidR="00562795">
        <w:t>a total of six</w:t>
      </w:r>
      <w:r>
        <w:t xml:space="preserve"> percent of the total offender population. </w:t>
      </w:r>
      <w:r w:rsidR="00324E73">
        <w:t>According to a</w:t>
      </w:r>
      <w:r>
        <w:t xml:space="preserve"> response to a FY 2020 </w:t>
      </w:r>
      <w:r w:rsidR="00324E73">
        <w:t xml:space="preserve">OLS </w:t>
      </w:r>
      <w:r>
        <w:t xml:space="preserve">budget question, the DOC </w:t>
      </w:r>
      <w:r w:rsidR="00324E73">
        <w:t xml:space="preserve">noted that a total of </w:t>
      </w:r>
      <w:r>
        <w:t xml:space="preserve">$166.8 million </w:t>
      </w:r>
      <w:r w:rsidR="00324E73">
        <w:t xml:space="preserve">had been budgeted </w:t>
      </w:r>
      <w:r>
        <w:t>for healthcare expenditures for FY2020.  Based on the budgeted healthcare expenditures, the approximate cost of health</w:t>
      </w:r>
      <w:r w:rsidRPr="007C2016">
        <w:t xml:space="preserve">care </w:t>
      </w:r>
      <w:r>
        <w:t xml:space="preserve">for the geriatric population would be </w:t>
      </w:r>
      <w:r w:rsidR="00324E73">
        <w:t xml:space="preserve">approximately </w:t>
      </w:r>
      <w:r>
        <w:t>$</w:t>
      </w:r>
      <w:r w:rsidR="00324E73">
        <w:t>10</w:t>
      </w:r>
      <w:r>
        <w:t xml:space="preserve"> million</w:t>
      </w:r>
      <w:r w:rsidRPr="007C2016">
        <w:t xml:space="preserve"> in </w:t>
      </w:r>
      <w:r>
        <w:t>FY</w:t>
      </w:r>
      <w:r w:rsidRPr="007C2016">
        <w:t>20</w:t>
      </w:r>
      <w:r>
        <w:t>20</w:t>
      </w:r>
      <w:r w:rsidRPr="007C2016">
        <w:t>.</w:t>
      </w:r>
      <w:r>
        <w:t xml:space="preserve"> </w:t>
      </w:r>
      <w:r w:rsidRPr="007C2016">
        <w:t xml:space="preserve"> </w:t>
      </w:r>
      <w:r>
        <w:t xml:space="preserve">However, this number does not take into account the fact that </w:t>
      </w:r>
      <w:r w:rsidRPr="007C2016">
        <w:t xml:space="preserve">medical costs </w:t>
      </w:r>
      <w:r>
        <w:t xml:space="preserve">for the </w:t>
      </w:r>
      <w:r w:rsidR="00324E73">
        <w:t>geriatric</w:t>
      </w:r>
      <w:r>
        <w:t xml:space="preserve"> population </w:t>
      </w:r>
      <w:r w:rsidRPr="007C2016">
        <w:t xml:space="preserve">would likely be considerably higher. </w:t>
      </w:r>
      <w:r>
        <w:t xml:space="preserve"> </w:t>
      </w:r>
      <w:r w:rsidRPr="007C2016">
        <w:t>It is not possible to precisely quantify these costs due to a lack of data</w:t>
      </w:r>
      <w:r>
        <w:t xml:space="preserve">, but research suggests that healthcare costs of inmates 65 years and older would be two to three times that of the younger population. </w:t>
      </w:r>
    </w:p>
    <w:p w:rsidR="00D91EA5" w:rsidRDefault="00665F1E" w:rsidP="00D91EA5">
      <w:pPr>
        <w:tabs>
          <w:tab w:val="left" w:pos="360"/>
          <w:tab w:val="left" w:pos="720"/>
          <w:tab w:val="left" w:pos="1440"/>
          <w:tab w:val="left" w:pos="2160"/>
          <w:tab w:val="left" w:pos="2880"/>
          <w:tab w:val="left" w:pos="3600"/>
          <w:tab w:val="left" w:pos="4320"/>
          <w:tab w:val="left" w:pos="5040"/>
        </w:tabs>
      </w:pPr>
      <w:r>
        <w:tab/>
        <w:t>In terms of housing costs, data obtained from the DOC indicate that the average annual cost to house an inmate in a State prison facility during FY 2019 totals $50,191.</w:t>
      </w:r>
      <w:r w:rsidRPr="00D6737E">
        <w:t xml:space="preserve"> However</w:t>
      </w:r>
      <w:r>
        <w:t>,</w:t>
      </w:r>
      <w:r w:rsidRPr="00D6737E">
        <w:t xml:space="preserve"> this total savings would not be realized unless the population declines by a number large enough for the DOC to lower bed space capacity</w:t>
      </w:r>
      <w:r>
        <w:t xml:space="preserve"> and reduce its </w:t>
      </w:r>
      <w:r w:rsidRPr="00D6737E">
        <w:t>fixed costs.</w:t>
      </w:r>
      <w:r>
        <w:t xml:space="preserve"> </w:t>
      </w:r>
      <w:r w:rsidRPr="00D6737E">
        <w:t xml:space="preserve"> Savings to be generated by a small number of inmates not returning to State prison and not reducing bed spaces would total $8.60 per day or $3,139 annually per inmate in marginal costs, for food, wages and clothing.</w:t>
      </w:r>
      <w:r>
        <w:t xml:space="preserve"> </w:t>
      </w:r>
      <w:r w:rsidR="00D91EA5">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665F1E" w:rsidTr="00D91EA5">
        <w:trPr>
          <w:trHeight w:val="403"/>
        </w:trPr>
        <w:tc>
          <w:tcPr>
            <w:tcW w:w="1260" w:type="dxa"/>
            <w:tcBorders>
              <w:top w:val="nil"/>
              <w:left w:val="nil"/>
              <w:bottom w:val="nil"/>
              <w:right w:val="nil"/>
            </w:tcBorders>
          </w:tcPr>
          <w:p w:rsidR="00665F1E" w:rsidRDefault="00665F1E" w:rsidP="00665F1E">
            <w:pPr>
              <w:pStyle w:val="10pointItalics"/>
              <w:rPr>
                <w:sz w:val="24"/>
              </w:rPr>
            </w:pPr>
            <w:r>
              <w:lastRenderedPageBreak/>
              <w:t>Section:</w:t>
            </w:r>
          </w:p>
        </w:tc>
        <w:tc>
          <w:tcPr>
            <w:tcW w:w="8100" w:type="dxa"/>
            <w:tcBorders>
              <w:top w:val="nil"/>
              <w:left w:val="nil"/>
              <w:bottom w:val="nil"/>
              <w:right w:val="nil"/>
            </w:tcBorders>
          </w:tcPr>
          <w:p w:rsidR="00665F1E" w:rsidRDefault="00665F1E" w:rsidP="00665F1E">
            <w:pPr>
              <w:pStyle w:val="10pointItalics"/>
              <w:rPr>
                <w:sz w:val="24"/>
              </w:rPr>
            </w:pPr>
            <w:r>
              <w:t>Judiciary</w:t>
            </w:r>
          </w:p>
        </w:tc>
      </w:tr>
      <w:tr w:rsidR="00665F1E" w:rsidTr="00D91EA5">
        <w:trPr>
          <w:trHeight w:val="403"/>
        </w:trPr>
        <w:tc>
          <w:tcPr>
            <w:tcW w:w="1260" w:type="dxa"/>
            <w:tcBorders>
              <w:top w:val="nil"/>
              <w:left w:val="nil"/>
              <w:bottom w:val="nil"/>
              <w:right w:val="nil"/>
            </w:tcBorders>
          </w:tcPr>
          <w:p w:rsidR="00665F1E" w:rsidRDefault="00665F1E" w:rsidP="00665F1E">
            <w:pPr>
              <w:pStyle w:val="10pointItalics"/>
              <w:rPr>
                <w:sz w:val="24"/>
              </w:rPr>
            </w:pPr>
            <w:r>
              <w:t>Analyst:</w:t>
            </w:r>
          </w:p>
        </w:tc>
        <w:tc>
          <w:tcPr>
            <w:tcW w:w="8100" w:type="dxa"/>
            <w:tcBorders>
              <w:top w:val="nil"/>
              <w:left w:val="nil"/>
              <w:bottom w:val="nil"/>
              <w:right w:val="nil"/>
            </w:tcBorders>
          </w:tcPr>
          <w:p w:rsidR="00665F1E" w:rsidRDefault="00665F1E" w:rsidP="00665F1E">
            <w:pPr>
              <w:pStyle w:val="10pointItalics"/>
            </w:pPr>
            <w:bookmarkStart w:id="2" w:name="UserFullName"/>
            <w:bookmarkEnd w:id="2"/>
            <w:r>
              <w:t>Anuja Pande Joshi</w:t>
            </w:r>
          </w:p>
          <w:p w:rsidR="00665F1E" w:rsidRDefault="00665F1E" w:rsidP="00665F1E">
            <w:pPr>
              <w:pStyle w:val="10pointItalics"/>
              <w:rPr>
                <w:sz w:val="24"/>
              </w:rPr>
            </w:pPr>
            <w:r>
              <w:t>Assistant Research Analyst</w:t>
            </w:r>
          </w:p>
        </w:tc>
      </w:tr>
      <w:tr w:rsidR="00EF17BC" w:rsidTr="00D91EA5">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CF362A"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F362A">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362A" w:rsidRDefault="00CF362A">
      <w:r>
        <w:separator/>
      </w:r>
    </w:p>
  </w:endnote>
  <w:endnote w:type="continuationSeparator" w:id="0">
    <w:p w:rsidR="00CF362A" w:rsidRDefault="00CF3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63D1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796099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362A" w:rsidRDefault="00CF362A">
      <w:r>
        <w:separator/>
      </w:r>
    </w:p>
  </w:footnote>
  <w:footnote w:type="continuationSeparator" w:id="0">
    <w:p w:rsidR="00CF362A" w:rsidRDefault="00CF36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62A" w:rsidRDefault="00CF362A" w:rsidP="00CF362A">
    <w:pPr>
      <w:pStyle w:val="Header"/>
      <w:jc w:val="center"/>
    </w:pPr>
    <w:r>
      <w:t>F</w:t>
    </w:r>
    <w:r w:rsidR="00B237E5">
      <w:t>E to A</w:t>
    </w:r>
    <w:r>
      <w:t>1254 [1R]</w:t>
    </w:r>
  </w:p>
  <w:p w:rsidR="00CF362A" w:rsidRDefault="00CF362A" w:rsidP="00CF362A">
    <w:pPr>
      <w:pStyle w:val="Header"/>
      <w:jc w:val="center"/>
    </w:pPr>
    <w:r>
      <w:fldChar w:fldCharType="begin"/>
    </w:r>
    <w:r>
      <w:instrText xml:space="preserve"> PAGE  \* MERGEFORMAT </w:instrText>
    </w:r>
    <w:r>
      <w:fldChar w:fldCharType="separate"/>
    </w:r>
    <w:r w:rsidR="00B63D12">
      <w:rPr>
        <w:noProof/>
      </w:rPr>
      <w:t>3</w:t>
    </w:r>
    <w:r>
      <w:fldChar w:fldCharType="end"/>
    </w:r>
  </w:p>
  <w:p w:rsidR="00CF362A" w:rsidRDefault="00CF362A" w:rsidP="00CF362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62A"/>
    <w:rsid w:val="00011EDD"/>
    <w:rsid w:val="00013973"/>
    <w:rsid w:val="00017624"/>
    <w:rsid w:val="000224C6"/>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314B"/>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77A0C"/>
    <w:rsid w:val="00290E57"/>
    <w:rsid w:val="0029229D"/>
    <w:rsid w:val="002977FC"/>
    <w:rsid w:val="002A15C4"/>
    <w:rsid w:val="002A2F18"/>
    <w:rsid w:val="002A5C0C"/>
    <w:rsid w:val="002D4307"/>
    <w:rsid w:val="002D7381"/>
    <w:rsid w:val="002D7863"/>
    <w:rsid w:val="002E3A30"/>
    <w:rsid w:val="002F5E01"/>
    <w:rsid w:val="00324E73"/>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D7CEA"/>
    <w:rsid w:val="00407C9E"/>
    <w:rsid w:val="0041022E"/>
    <w:rsid w:val="004149CC"/>
    <w:rsid w:val="00476338"/>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2795"/>
    <w:rsid w:val="00570997"/>
    <w:rsid w:val="00577AA8"/>
    <w:rsid w:val="005850CE"/>
    <w:rsid w:val="005A6D23"/>
    <w:rsid w:val="005C1947"/>
    <w:rsid w:val="005C1E9D"/>
    <w:rsid w:val="005E03E7"/>
    <w:rsid w:val="005E75AB"/>
    <w:rsid w:val="00601F73"/>
    <w:rsid w:val="00625D15"/>
    <w:rsid w:val="00651611"/>
    <w:rsid w:val="00653AE2"/>
    <w:rsid w:val="00665F1E"/>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04C5"/>
    <w:rsid w:val="007C4620"/>
    <w:rsid w:val="007E337B"/>
    <w:rsid w:val="007E5EB3"/>
    <w:rsid w:val="007F15BC"/>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237E5"/>
    <w:rsid w:val="00B4569E"/>
    <w:rsid w:val="00B45879"/>
    <w:rsid w:val="00B551EB"/>
    <w:rsid w:val="00B55F3D"/>
    <w:rsid w:val="00B63D12"/>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85655"/>
    <w:rsid w:val="00C91EDF"/>
    <w:rsid w:val="00C97447"/>
    <w:rsid w:val="00CC6622"/>
    <w:rsid w:val="00CF362A"/>
    <w:rsid w:val="00D06E99"/>
    <w:rsid w:val="00D20F5D"/>
    <w:rsid w:val="00D376ED"/>
    <w:rsid w:val="00D40E4F"/>
    <w:rsid w:val="00D638D0"/>
    <w:rsid w:val="00D67A0A"/>
    <w:rsid w:val="00D734B9"/>
    <w:rsid w:val="00D762A6"/>
    <w:rsid w:val="00D762BF"/>
    <w:rsid w:val="00D84564"/>
    <w:rsid w:val="00D91EA5"/>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86DD446-8125-4C82-AF67-B541CDC12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8210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894</Words>
  <Characters>4707</Characters>
  <Application>Microsoft Office Word</Application>
  <DocSecurity>0</DocSecurity>
  <Lines>111</Lines>
  <Paragraphs>40</Paragraphs>
  <ScaleCrop>false</ScaleCrop>
  <HeadingPairs>
    <vt:vector size="2" baseType="variant">
      <vt:variant>
        <vt:lpstr>Title</vt:lpstr>
      </vt:variant>
      <vt:variant>
        <vt:i4>1</vt:i4>
      </vt:variant>
    </vt:vector>
  </HeadingPairs>
  <TitlesOfParts>
    <vt:vector size="1" baseType="lpstr">
      <vt:lpstr>A1254 [1R]  FISCAL ESTIMATE</vt:lpstr>
    </vt:vector>
  </TitlesOfParts>
  <Manager>Anuja Pande Joshi; R225</Manager>
  <Company>Office of Legislative Services</Company>
  <LinksUpToDate>false</LinksUpToDate>
  <CharactersWithSpaces>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A1254 1R FISCAL ESTIMATE</dc:title>
  <dc:creator>Assemblyman SCHAER, Assemblyman HOLLEY</dc:creator>
  <cp:keywords>A1254|3|JU |309|309|0|!|0|</cp:keywords>
  <dc:description>Sent to Sponsor 7/29</dc:description>
  <cp:lastModifiedBy>Siracusa, Nicole</cp:lastModifiedBy>
  <cp:revision>2</cp:revision>
  <dcterms:created xsi:type="dcterms:W3CDTF">2020-08-03T15:56:00Z</dcterms:created>
  <dcterms:modified xsi:type="dcterms:W3CDTF">2020-08-03T15:56:00Z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