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74DB" w:rsidP="00ED5E27">
      <w:pPr>
        <w:pStyle w:val="TopofPage1"/>
      </w:pPr>
      <w:bookmarkStart w:id="0" w:name="_GoBack"/>
      <w:bookmarkEnd w:id="0"/>
      <w:r>
        <w:t>SENATE</w:t>
      </w:r>
      <w:r w:rsidR="005C51A8">
        <w:t xml:space="preserve"> </w:t>
      </w:r>
      <w:r w:rsidR="00E97A30">
        <w:t xml:space="preserve">COMMERCE </w:t>
      </w:r>
      <w:r>
        <w:t xml:space="preserve">COMMITTEE </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774D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1263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665404" w:rsidRDefault="00D33775" w:rsidP="00665404">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74DB">
        <w:rPr>
          <w:caps/>
          <w:szCs w:val="24"/>
        </w:rPr>
        <w:t>JULY 23, 2020</w:t>
      </w:r>
    </w:p>
    <w:p w:rsidR="00655CA3" w:rsidRDefault="00655CA3" w:rsidP="0083060A"/>
    <w:p w:rsidR="00FC51FA" w:rsidRDefault="00FC51FA" w:rsidP="00313EEB">
      <w:pPr>
        <w:spacing w:line="276" w:lineRule="auto"/>
      </w:pPr>
      <w:r>
        <w:tab/>
        <w:t>The Senate Commerce Committee reports favorably Assembly Bill No. 1263.</w:t>
      </w:r>
    </w:p>
    <w:p w:rsidR="00313EEB" w:rsidRPr="00FA1E9D" w:rsidRDefault="00313EEB" w:rsidP="00313EEB">
      <w:pPr>
        <w:spacing w:line="276" w:lineRule="auto"/>
      </w:pPr>
      <w:r>
        <w:tab/>
        <w:t xml:space="preserve">This bill </w:t>
      </w:r>
      <w:r w:rsidRPr="00FA1E9D">
        <w:t>supplements the “Viatical Settlements</w:t>
      </w:r>
      <w:r>
        <w:t xml:space="preserve"> </w:t>
      </w:r>
      <w:r w:rsidRPr="00FA1E9D">
        <w:t>Act,” P.L.2005,</w:t>
      </w:r>
      <w:r w:rsidR="00665404">
        <w:t> </w:t>
      </w:r>
      <w:r w:rsidRPr="00FA1E9D">
        <w:t>c.229 (C.17B:30B-1 et seq.), to address concerns regarding stranger-originated life insurance, or “STOLI,” as it is</w:t>
      </w:r>
      <w:r>
        <w:t xml:space="preserve"> </w:t>
      </w:r>
      <w:r w:rsidRPr="00FA1E9D">
        <w:t>sometimes called.</w:t>
      </w:r>
      <w:r>
        <w:t xml:space="preserve"> </w:t>
      </w:r>
      <w:r w:rsidRPr="00FA1E9D">
        <w:t xml:space="preserve"> STOLI is a practice in which a life insurance policy is purchased for the benefit of a third party who, at the time of policy issuance, has no insurable interest in the life of the</w:t>
      </w:r>
      <w:r>
        <w:t xml:space="preserve"> </w:t>
      </w:r>
      <w:r w:rsidRPr="00FA1E9D">
        <w:t xml:space="preserve">insured. </w:t>
      </w:r>
      <w:r>
        <w:t xml:space="preserve"> The long-standing legal principle of i</w:t>
      </w:r>
      <w:r w:rsidRPr="00FA1E9D">
        <w:t>nsurable interest</w:t>
      </w:r>
      <w:r>
        <w:t xml:space="preserve"> </w:t>
      </w:r>
      <w:r w:rsidRPr="00FA1E9D">
        <w:t xml:space="preserve">generally requires that a person applying for a life insurance policy </w:t>
      </w:r>
      <w:r>
        <w:t xml:space="preserve">must </w:t>
      </w:r>
      <w:r w:rsidRPr="00FA1E9D">
        <w:t>have an</w:t>
      </w:r>
      <w:r>
        <w:t xml:space="preserve"> </w:t>
      </w:r>
      <w:r w:rsidRPr="00FA1E9D">
        <w:t>interest in the continued lif</w:t>
      </w:r>
      <w:r>
        <w:t>e</w:t>
      </w:r>
      <w:r w:rsidRPr="00FA1E9D">
        <w:t xml:space="preserve"> of the insured.</w:t>
      </w:r>
      <w:r>
        <w:t xml:space="preserve"> </w:t>
      </w:r>
      <w:r w:rsidRPr="00FA1E9D">
        <w:t xml:space="preserve"> This is most often</w:t>
      </w:r>
      <w:r>
        <w:t xml:space="preserve"> </w:t>
      </w:r>
      <w:r w:rsidRPr="00FA1E9D">
        <w:t xml:space="preserve">because the insured is a blood relative or because an economic relationship exists between the parties. </w:t>
      </w:r>
      <w:r>
        <w:t xml:space="preserve"> </w:t>
      </w:r>
      <w:r w:rsidRPr="00FA1E9D">
        <w:t>Since it has long been illegal and void as a wager on human life</w:t>
      </w:r>
      <w:r>
        <w:t xml:space="preserve"> </w:t>
      </w:r>
      <w:r w:rsidRPr="00FA1E9D">
        <w:t xml:space="preserve">to seek to obtain insurance on a stranger, modern STOLI schemes have endeavored to hide the offensive ownership of the policy from insurers at inception and from viatical settlement companies when the policy is sought to be sold. </w:t>
      </w:r>
      <w:r>
        <w:t xml:space="preserve"> </w:t>
      </w:r>
      <w:r w:rsidRPr="00FA1E9D">
        <w:t xml:space="preserve">STOLI transactions also often include acts of fraud in the application for new insurance, such as the applicant misrepresenting their net worth or the amount of </w:t>
      </w:r>
      <w:r>
        <w:t xml:space="preserve">in </w:t>
      </w:r>
      <w:r w:rsidRPr="00FA1E9D">
        <w:t xml:space="preserve">force insurance they have. </w:t>
      </w:r>
      <w:r>
        <w:t xml:space="preserve"> </w:t>
      </w:r>
      <w:r w:rsidRPr="00FA1E9D">
        <w:t>STOLI practices include, but are not limited to, cases in which life insurance is purchased with resources</w:t>
      </w:r>
      <w:r>
        <w:t xml:space="preserve"> </w:t>
      </w:r>
      <w:r w:rsidRPr="00FA1E9D">
        <w:t xml:space="preserve">or guarantees from or through a person or entity who, at the time of policy inception, could not lawfully initiate </w:t>
      </w:r>
      <w:r>
        <w:t xml:space="preserve">or procure </w:t>
      </w:r>
      <w:r w:rsidRPr="00FA1E9D">
        <w:t>the policy themselves and where, at the time of inception, there is an arrangement, verbal or written, to directly or indirectly transfer the ownership of the policy or policy benefits to a third party.</w:t>
      </w:r>
      <w:r>
        <w:t xml:space="preserve"> </w:t>
      </w:r>
      <w:r w:rsidRPr="00FA1E9D">
        <w:t xml:space="preserve"> Not only are STOLI schemes harmful because they circumvent</w:t>
      </w:r>
      <w:r>
        <w:t xml:space="preserve"> </w:t>
      </w:r>
      <w:r w:rsidRPr="00FA1E9D">
        <w:t>insurable interest laws, they can also limit an insured’s ability to purchase life insurance later if he has used up his capacity for insurance on the STOLI arrangement.</w:t>
      </w:r>
    </w:p>
    <w:p w:rsidR="00313EEB" w:rsidRDefault="00313EEB" w:rsidP="00313EEB">
      <w:pPr>
        <w:spacing w:line="276" w:lineRule="auto"/>
      </w:pPr>
      <w:r>
        <w:tab/>
      </w:r>
      <w:r w:rsidRPr="00FA1E9D">
        <w:t>Specifically, the bill provides a definition of stranger-originated</w:t>
      </w:r>
      <w:r>
        <w:t xml:space="preserve"> </w:t>
      </w:r>
      <w:r w:rsidRPr="00FA1E9D">
        <w:t xml:space="preserve">life insurance and explicitly states that stranger-originated life insurance is not a viatical settlement contract. </w:t>
      </w:r>
      <w:r>
        <w:t xml:space="preserve"> </w:t>
      </w:r>
      <w:r w:rsidRPr="00FA1E9D">
        <w:t xml:space="preserve">The bill prohibits establishing trusts created to give the appearance of insurable interest and that are used to initiate </w:t>
      </w:r>
      <w:r>
        <w:t xml:space="preserve">or procure </w:t>
      </w:r>
      <w:r w:rsidRPr="00FA1E9D">
        <w:t>policies for investors.</w:t>
      </w:r>
    </w:p>
    <w:p w:rsidR="00313EEB" w:rsidRDefault="00313EEB" w:rsidP="00313EEB">
      <w:pPr>
        <w:spacing w:line="276" w:lineRule="auto"/>
      </w:pPr>
      <w:r>
        <w:tab/>
        <w:t xml:space="preserve">The bill prohibits any person from directly or indirectly engaging in any act, practice or arrangement that constitutes stranger-originated life insurance. The bill provides that a life insurer may contest a policy on the grounds that it was  obtained by a stranger-originated life </w:t>
      </w:r>
      <w:r>
        <w:lastRenderedPageBreak/>
        <w:t xml:space="preserve">insurance practice, as defined by the bill, at any time, notwithstanding the existing statutory provision that limits contestability of a life insurance policy once it has been in force during the lifetime of the insured to a period of two years from the date of issue.  The bill further provides that a contract, agreement, arrangement, or transaction, including, but not limited to, a financing agreement or any other arrangement or understanding entered into, whether written or verbal, for the furtherance or aid of a stranger-originated life insurance practice is void and unenforceable at the outset.  </w:t>
      </w:r>
    </w:p>
    <w:p w:rsidR="00313EEB" w:rsidRDefault="00313EEB" w:rsidP="00313EEB">
      <w:r>
        <w:tab/>
        <w:t xml:space="preserve">The Commissioner of Banking and Insurance may seek an injunction in a court of competent jurisdiction and may apply for temporary and permanent orders that the commissioner determines are necessary to restrain any person from committing a violation of the bill.  Any person damaged by the acts of a person in violation of the bill may bring a civil action against the person committing the violation in a court of competent jurisdiction.  The commissioner may issue a cease and desist order for a violation of the bill’s provisions or an order adopted by the commissioner.  If the commissioner finds that an activity in violation of the bill presents an immediate danger to the public that requires an immediate final order, the commissioner may issue an emergency cease and desist order reciting with particularity the facts underlying the findings.  </w:t>
      </w:r>
    </w:p>
    <w:p w:rsidR="00313EEB" w:rsidRDefault="00313EEB" w:rsidP="00313EEB">
      <w:r>
        <w:tab/>
        <w:t>In addition to the penalties and other enforcement provisions of the bill, any person who violates the bill shall be subject to civil penalties of up to $10,000 per violation and the commissioner's order may require a person found to be in violation of the bill to make restitution to persons aggrieved by the violations.  Additionally, a violation shall be considered an unfair trade practice pursuant to N.J.S.17B:30-1 et seq. and shall be subject to the penalties contained in N.J.S.17B:30-17.</w:t>
      </w:r>
    </w:p>
    <w:p w:rsidR="004B2ABF" w:rsidRDefault="00313EEB" w:rsidP="00665404">
      <w:pPr>
        <w:spacing w:line="276" w:lineRule="auto"/>
      </w:pPr>
      <w:r>
        <w:tab/>
        <w:t xml:space="preserve">A recent decision of the New Jersey Supreme Court, </w:t>
      </w:r>
      <w:r>
        <w:rPr>
          <w:u w:val="single"/>
        </w:rPr>
        <w:t>Sun Life Assur. Co.</w:t>
      </w:r>
      <w:r>
        <w:t xml:space="preserve"> vs. </w:t>
      </w:r>
      <w:r>
        <w:rPr>
          <w:u w:val="single"/>
        </w:rPr>
        <w:t>Wells Fargo Bank, N.A.</w:t>
      </w:r>
      <w:r>
        <w:t xml:space="preserve">, 238 </w:t>
      </w:r>
      <w:r w:rsidRPr="00D84972">
        <w:rPr>
          <w:u w:val="single"/>
        </w:rPr>
        <w:t>N.J.</w:t>
      </w:r>
      <w:r>
        <w:t xml:space="preserve"> 157 (2019), reaffirmed the long-standing tenet that a life insurance policy procured with the intent to benefit persons without an insurable interest in the life of the insured violates public policy of the State, and further held that such a policy is void at the outset.  This bill is intended to codify that holding, and to provide appropriate penalties for violations arising from stranger-originated life insurance practices.</w:t>
      </w:r>
      <w:r w:rsidRPr="00D63574">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4DB" w:rsidRDefault="00D774DB">
      <w:r>
        <w:separator/>
      </w:r>
    </w:p>
  </w:endnote>
  <w:endnote w:type="continuationSeparator" w:id="0">
    <w:p w:rsidR="00D774DB" w:rsidRDefault="00D77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4DB" w:rsidRDefault="00D774DB">
      <w:r>
        <w:separator/>
      </w:r>
    </w:p>
  </w:footnote>
  <w:footnote w:type="continuationSeparator" w:id="0">
    <w:p w:rsidR="00D774DB" w:rsidRDefault="00D774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5404" w:rsidP="00665404">
    <w:pPr>
      <w:pStyle w:val="HeaderPage2"/>
      <w:jc w:val="center"/>
    </w:pPr>
    <w:r>
      <w:fldChar w:fldCharType="begin"/>
    </w:r>
    <w:r>
      <w:instrText xml:space="preserve"> PAGE  \* MERGEFORMAT </w:instrText>
    </w:r>
    <w:r>
      <w:fldChar w:fldCharType="separate"/>
    </w:r>
    <w:r w:rsidR="00A72A50">
      <w:rPr>
        <w:noProof/>
      </w:rPr>
      <w:t>2</w:t>
    </w:r>
    <w:r>
      <w:fldChar w:fldCharType="end"/>
    </w:r>
  </w:p>
  <w:p w:rsidR="00665404" w:rsidRDefault="00665404" w:rsidP="006654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4DB"/>
    <w:rsid w:val="00010CB9"/>
    <w:rsid w:val="000123C0"/>
    <w:rsid w:val="000142A3"/>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4DC"/>
    <w:rsid w:val="00172814"/>
    <w:rsid w:val="0017383E"/>
    <w:rsid w:val="00177309"/>
    <w:rsid w:val="0019009B"/>
    <w:rsid w:val="00193E07"/>
    <w:rsid w:val="00194AA9"/>
    <w:rsid w:val="001968DB"/>
    <w:rsid w:val="001A5566"/>
    <w:rsid w:val="001B46AC"/>
    <w:rsid w:val="001C5767"/>
    <w:rsid w:val="001C5A13"/>
    <w:rsid w:val="001D0158"/>
    <w:rsid w:val="001D63BE"/>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EEB"/>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34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40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AC0"/>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7E9"/>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A50"/>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38DB"/>
    <w:rsid w:val="00B15315"/>
    <w:rsid w:val="00B20E36"/>
    <w:rsid w:val="00B215A6"/>
    <w:rsid w:val="00B30EC1"/>
    <w:rsid w:val="00B40F8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33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4DB"/>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A30"/>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1FA"/>
    <w:rsid w:val="00FC52FB"/>
    <w:rsid w:val="00FC7741"/>
    <w:rsid w:val="00FC7EFD"/>
    <w:rsid w:val="00FD00DD"/>
    <w:rsid w:val="00FD21A1"/>
    <w:rsid w:val="00FE5312"/>
    <w:rsid w:val="00FE556D"/>
    <w:rsid w:val="00FF2E77"/>
    <w:rsid w:val="00FF4C9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042F80E-0172-4334-9950-CD0FCE7FD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634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34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820</Words>
  <Characters>4309</Characters>
  <Application>Microsoft Office Word</Application>
  <DocSecurity>0</DocSecurity>
  <Lines>86</Lines>
  <Paragraphs>12</Paragraphs>
  <ScaleCrop>false</ScaleCrop>
  <HeadingPairs>
    <vt:vector size="2" baseType="variant">
      <vt:variant>
        <vt:lpstr>Title</vt:lpstr>
      </vt:variant>
      <vt:variant>
        <vt:i4>1</vt:i4>
      </vt:variant>
    </vt:vector>
  </HeadingPairs>
  <TitlesOfParts>
    <vt:vector size="1" baseType="lpstr">
      <vt:lpstr>A1263 Commerce Statement JULY 23, 2020</vt:lpstr>
    </vt:vector>
  </TitlesOfParts>
  <Manager>R230</Manager>
  <Company>NJ OLS DMU</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A1263 SCM Statement 7/23/20</dc:title>
  <dc:subject/>
  <dc:creator>Senate SCM</dc:creator>
  <cp:keywords>A1263|2|CL |260|0|0|!||</cp:keywords>
  <dc:description/>
  <cp:lastModifiedBy>Bektas, Brenda</cp:lastModifiedBy>
  <cp:revision>2</cp:revision>
  <cp:lastPrinted>2020-07-24T14:03:00Z</cp:lastPrinted>
  <dcterms:created xsi:type="dcterms:W3CDTF">2020-07-24T17:02:00Z</dcterms:created>
  <dcterms:modified xsi:type="dcterms:W3CDTF">2020-07-24T17:02:00Z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