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7C9E" w:rsidRPr="00407C9E" w:rsidRDefault="00290093" w:rsidP="00407C9E">
      <w:pPr>
        <w:pStyle w:val="NoteOrEstimate"/>
      </w:pPr>
      <w:r>
        <w:t>LEGISLATIVE FISCAL ESTIMATE</w:t>
      </w:r>
    </w:p>
    <w:p w:rsidR="003C5892" w:rsidRDefault="00290093"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1269</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460841" w:rsidP="00460841">
      <w:pPr>
        <w:pStyle w:val="BillNo"/>
      </w:pPr>
      <w:r>
        <w:t>219th LEGISLATURE</w:t>
      </w:r>
    </w:p>
    <w:p w:rsidR="00353325" w:rsidRPr="00460841" w:rsidRDefault="00353325" w:rsidP="00353325">
      <w:pPr>
        <w:rPr>
          <w:sz w:val="20"/>
          <w:szCs w:val="20"/>
        </w:rPr>
      </w:pPr>
    </w:p>
    <w:p w:rsidR="00460841" w:rsidRDefault="00460841" w:rsidP="00460841">
      <w:pPr>
        <w:jc w:val="center"/>
      </w:pPr>
      <w:r>
        <w:t>DATED: OCTOBER 23, 2020</w:t>
      </w:r>
    </w:p>
    <w:p w:rsidR="00460841" w:rsidRPr="00460841" w:rsidRDefault="00460841" w:rsidP="00353325">
      <w:pPr>
        <w:rPr>
          <w:sz w:val="20"/>
          <w:szCs w:val="20"/>
        </w:rPr>
      </w:pPr>
    </w:p>
    <w:p w:rsidR="00460841" w:rsidRPr="00460841" w:rsidRDefault="00460841" w:rsidP="00353325">
      <w:pPr>
        <w:rPr>
          <w:sz w:val="20"/>
          <w:szCs w:val="20"/>
        </w:rPr>
      </w:pPr>
    </w:p>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Pr="00460841" w:rsidRDefault="003C5892" w:rsidP="002D7863">
      <w:pPr>
        <w:tabs>
          <w:tab w:val="left" w:pos="360"/>
          <w:tab w:val="left" w:pos="720"/>
          <w:tab w:val="left" w:pos="1440"/>
          <w:tab w:val="left" w:pos="2160"/>
          <w:tab w:val="left" w:pos="2880"/>
          <w:tab w:val="left" w:pos="3600"/>
          <w:tab w:val="left" w:pos="4320"/>
          <w:tab w:val="left" w:pos="5040"/>
        </w:tabs>
        <w:rPr>
          <w:sz w:val="20"/>
          <w:szCs w:val="20"/>
        </w:rPr>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BF071C" w:rsidP="00515AC5">
            <w:r>
              <w:t>Eliminates the 1% fee, and the 1% tax, on purchasers of Class 4A commercial property transferred for consideration in excess of $1 million.</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B66CF0" w:rsidP="00515AC5">
            <w:r>
              <w:t xml:space="preserve">Annual State </w:t>
            </w:r>
            <w:r w:rsidR="009005BE">
              <w:t xml:space="preserve">General Fund </w:t>
            </w:r>
            <w:r>
              <w:t>revenue loss.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CF4638" w:rsidRDefault="00CF4638" w:rsidP="009005BE">
            <w:r>
              <w:t>Department of the Treasury.</w:t>
            </w:r>
            <w:r w:rsidR="004B26B6">
              <w:t xml:space="preserve"> </w:t>
            </w:r>
          </w:p>
        </w:tc>
      </w:tr>
    </w:tbl>
    <w:p w:rsidR="003C5892" w:rsidRPr="00460841" w:rsidRDefault="003C5892" w:rsidP="002D7863">
      <w:pPr>
        <w:tabs>
          <w:tab w:val="left" w:pos="360"/>
          <w:tab w:val="left" w:pos="720"/>
          <w:tab w:val="left" w:pos="1440"/>
          <w:tab w:val="left" w:pos="2160"/>
          <w:tab w:val="left" w:pos="2880"/>
          <w:tab w:val="left" w:pos="3600"/>
          <w:tab w:val="left" w:pos="4320"/>
          <w:tab w:val="left" w:pos="5040"/>
        </w:tabs>
        <w:rPr>
          <w:sz w:val="20"/>
          <w:szCs w:val="20"/>
        </w:rPr>
      </w:pPr>
    </w:p>
    <w:tbl>
      <w:tblPr>
        <w:tblW w:w="9375" w:type="dxa"/>
        <w:tblInd w:w="100" w:type="dxa"/>
        <w:tblLayout w:type="fixed"/>
        <w:tblCellMar>
          <w:left w:w="100" w:type="dxa"/>
          <w:right w:w="100" w:type="dxa"/>
        </w:tblCellMar>
        <w:tblLook w:val="0000" w:firstRow="0" w:lastRow="0" w:firstColumn="0" w:lastColumn="0" w:noHBand="0" w:noVBand="0"/>
      </w:tblPr>
      <w:tblGrid>
        <w:gridCol w:w="2420"/>
        <w:gridCol w:w="6940"/>
        <w:gridCol w:w="15"/>
      </w:tblGrid>
      <w:tr w:rsidR="00C75246" w:rsidTr="00CF4638">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bookmarkStart w:id="0" w:name="DelTable"/>
            <w:bookmarkEnd w:id="0"/>
            <w:r>
              <w:rPr>
                <w:b/>
              </w:rPr>
              <w:t xml:space="preserve">Office of Legislative Services </w:t>
            </w:r>
            <w:r w:rsidRPr="00F11982">
              <w:rPr>
                <w:b/>
              </w:rPr>
              <w:t>Estimate</w:t>
            </w:r>
          </w:p>
        </w:tc>
      </w:tr>
      <w:tr w:rsidR="009005BE" w:rsidTr="006D3FA2">
        <w:trPr>
          <w:gridAfter w:val="1"/>
          <w:wAfter w:w="15" w:type="dxa"/>
          <w:trHeight w:val="410"/>
        </w:trPr>
        <w:tc>
          <w:tcPr>
            <w:tcW w:w="2420" w:type="dxa"/>
            <w:tcBorders>
              <w:top w:val="single" w:sz="6" w:space="0" w:color="auto"/>
              <w:left w:val="single" w:sz="6" w:space="0" w:color="auto"/>
              <w:bottom w:val="single" w:sz="12" w:space="0" w:color="auto"/>
              <w:right w:val="nil"/>
            </w:tcBorders>
            <w:shd w:val="pct20" w:color="auto" w:fill="auto"/>
            <w:vAlign w:val="bottom"/>
          </w:tcPr>
          <w:p w:rsidR="009005BE" w:rsidRPr="00F11982" w:rsidRDefault="009005BE"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940" w:type="dxa"/>
            <w:tcBorders>
              <w:top w:val="single" w:sz="6" w:space="0" w:color="auto"/>
              <w:left w:val="nil"/>
              <w:bottom w:val="single" w:sz="12" w:space="0" w:color="auto"/>
              <w:right w:val="single" w:sz="6" w:space="0" w:color="auto"/>
            </w:tcBorders>
            <w:shd w:val="pct20" w:color="auto" w:fill="auto"/>
            <w:vAlign w:val="bottom"/>
          </w:tcPr>
          <w:p w:rsidR="009005BE" w:rsidRPr="00F11982" w:rsidRDefault="00B167AC"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 xml:space="preserve">FY 2021 and </w:t>
            </w:r>
            <w:r w:rsidR="004B26B6">
              <w:rPr>
                <w:b/>
                <w:u w:val="single"/>
              </w:rPr>
              <w:t>Thereafter</w:t>
            </w:r>
          </w:p>
        </w:tc>
      </w:tr>
      <w:tr w:rsidR="009005BE" w:rsidTr="006D3FA2">
        <w:trPr>
          <w:gridAfter w:val="1"/>
          <w:wAfter w:w="15" w:type="dxa"/>
          <w:trHeight w:val="410"/>
        </w:trPr>
        <w:tc>
          <w:tcPr>
            <w:tcW w:w="2420" w:type="dxa"/>
            <w:tcBorders>
              <w:top w:val="nil"/>
              <w:left w:val="single" w:sz="6" w:space="0" w:color="auto"/>
              <w:bottom w:val="nil"/>
              <w:right w:val="nil"/>
            </w:tcBorders>
            <w:tcMar>
              <w:bottom w:w="29" w:type="dxa"/>
            </w:tcMar>
            <w:vAlign w:val="bottom"/>
          </w:tcPr>
          <w:p w:rsidR="009005BE" w:rsidRPr="00F11982" w:rsidRDefault="009005BE"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sidR="006D3FA2">
              <w:rPr>
                <w:b/>
              </w:rPr>
              <w:t xml:space="preserve"> Loss</w:t>
            </w:r>
          </w:p>
        </w:tc>
        <w:tc>
          <w:tcPr>
            <w:tcW w:w="6940" w:type="dxa"/>
            <w:tcBorders>
              <w:top w:val="nil"/>
              <w:left w:val="nil"/>
              <w:bottom w:val="nil"/>
              <w:right w:val="single" w:sz="6" w:space="0" w:color="auto"/>
            </w:tcBorders>
            <w:tcMar>
              <w:bottom w:w="29" w:type="dxa"/>
            </w:tcMar>
            <w:vAlign w:val="bottom"/>
          </w:tcPr>
          <w:p w:rsidR="009005BE" w:rsidRDefault="009005BE" w:rsidP="002D7863">
            <w:pPr>
              <w:tabs>
                <w:tab w:val="left" w:pos="360"/>
                <w:tab w:val="left" w:pos="720"/>
                <w:tab w:val="left" w:pos="1440"/>
                <w:tab w:val="left" w:pos="2160"/>
                <w:tab w:val="left" w:pos="2880"/>
                <w:tab w:val="left" w:pos="3600"/>
                <w:tab w:val="left" w:pos="4320"/>
                <w:tab w:val="left" w:pos="5040"/>
              </w:tabs>
              <w:jc w:val="center"/>
            </w:pPr>
            <w:r>
              <w:t>$30 million to $40 million</w:t>
            </w:r>
          </w:p>
        </w:tc>
      </w:tr>
      <w:tr w:rsidR="00C75246" w:rsidTr="00CF4638">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9005BE" w:rsidRDefault="00644299" w:rsidP="00460841">
      <w:pPr>
        <w:pStyle w:val="StyleBulletedSymbolsymbol"/>
        <w:spacing w:after="0"/>
      </w:pPr>
      <w:r>
        <w:t>T</w:t>
      </w:r>
      <w:r w:rsidR="00770C91" w:rsidRPr="00770C91">
        <w:t>he</w:t>
      </w:r>
      <w:r w:rsidR="00770C91">
        <w:t xml:space="preserve"> Office of Legislative Services</w:t>
      </w:r>
      <w:r w:rsidR="00770C91" w:rsidRPr="00770C91">
        <w:t xml:space="preserve"> </w:t>
      </w:r>
      <w:r w:rsidR="00770C91">
        <w:t>(</w:t>
      </w:r>
      <w:r w:rsidR="00770C91" w:rsidRPr="00770C91">
        <w:t>OLS</w:t>
      </w:r>
      <w:r w:rsidR="00770C91">
        <w:t>)</w:t>
      </w:r>
      <w:r w:rsidR="00770C91" w:rsidRPr="00770C91">
        <w:t xml:space="preserve"> expects this bill to decrease State General Fund revenue</w:t>
      </w:r>
      <w:r w:rsidR="00C310ED">
        <w:t xml:space="preserve"> in the aggregate</w:t>
      </w:r>
      <w:r w:rsidR="00770C91" w:rsidRPr="00770C91">
        <w:t xml:space="preserve"> by </w:t>
      </w:r>
      <w:r w:rsidR="006D3FA2">
        <w:t>up</w:t>
      </w:r>
      <w:r w:rsidR="00770C91" w:rsidRPr="00770C91">
        <w:t xml:space="preserve"> to $40 million annually if both the tax and fee are repealed.  Most of the revenue loss would originate from repealing the one percent fee imposed on Class 4A commercial properties through the State’s realty transfer fee.</w:t>
      </w:r>
    </w:p>
    <w:p w:rsidR="00460841" w:rsidRPr="00460841" w:rsidRDefault="00460841" w:rsidP="00460841">
      <w:pPr>
        <w:pStyle w:val="StyleBulletedSymbolsymbol"/>
        <w:numPr>
          <w:ilvl w:val="0"/>
          <w:numId w:val="0"/>
        </w:numPr>
        <w:spacing w:after="0"/>
        <w:ind w:left="360" w:hanging="360"/>
        <w:rPr>
          <w:sz w:val="20"/>
          <w:szCs w:val="20"/>
        </w:rPr>
      </w:pPr>
    </w:p>
    <w:p w:rsidR="00460841" w:rsidRPr="00460841" w:rsidRDefault="00460841" w:rsidP="00460841">
      <w:pPr>
        <w:pStyle w:val="StyleBulletedSymbolsymbol"/>
        <w:numPr>
          <w:ilvl w:val="0"/>
          <w:numId w:val="0"/>
        </w:numPr>
        <w:spacing w:after="0"/>
        <w:ind w:left="360" w:hanging="360"/>
        <w:rPr>
          <w:sz w:val="20"/>
          <w:szCs w:val="20"/>
        </w:rPr>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Pr="00460841" w:rsidRDefault="00255944" w:rsidP="002D7863">
      <w:pPr>
        <w:tabs>
          <w:tab w:val="left" w:pos="360"/>
          <w:tab w:val="left" w:pos="720"/>
          <w:tab w:val="left" w:pos="1440"/>
          <w:tab w:val="left" w:pos="2160"/>
          <w:tab w:val="left" w:pos="2880"/>
          <w:tab w:val="left" w:pos="3600"/>
          <w:tab w:val="left" w:pos="4320"/>
          <w:tab w:val="left" w:pos="5040"/>
        </w:tabs>
        <w:rPr>
          <w:sz w:val="20"/>
          <w:szCs w:val="20"/>
        </w:rPr>
      </w:pPr>
    </w:p>
    <w:p w:rsidR="00E615B8" w:rsidRDefault="00255944" w:rsidP="00E615B8">
      <w:pPr>
        <w:tabs>
          <w:tab w:val="left" w:pos="360"/>
          <w:tab w:val="left" w:pos="720"/>
          <w:tab w:val="left" w:pos="1440"/>
          <w:tab w:val="left" w:pos="2160"/>
          <w:tab w:val="left" w:pos="2880"/>
          <w:tab w:val="left" w:pos="3600"/>
          <w:tab w:val="left" w:pos="4320"/>
          <w:tab w:val="left" w:pos="5040"/>
        </w:tabs>
      </w:pPr>
      <w:r w:rsidRPr="00255944">
        <w:tab/>
      </w:r>
      <w:r w:rsidR="00E615B8">
        <w:t xml:space="preserve">This bill eliminates the fee, equal to </w:t>
      </w:r>
      <w:r w:rsidR="009005BE">
        <w:t>one</w:t>
      </w:r>
      <w:r w:rsidR="00E615B8">
        <w:t xml:space="preserve"> percent of the total consideration paid, on the purchaser of Class 4A commercial property transferred by deed for consideration in excess of $1 million.  Class 4A commercial property is any kind of income-producing real property other than property classified as vacant land, residential property or apartments, farm property, and industrial property.</w:t>
      </w:r>
    </w:p>
    <w:p w:rsidR="00255944" w:rsidRDefault="00E615B8" w:rsidP="00E615B8">
      <w:pPr>
        <w:tabs>
          <w:tab w:val="left" w:pos="360"/>
          <w:tab w:val="left" w:pos="720"/>
          <w:tab w:val="left" w:pos="1440"/>
          <w:tab w:val="left" w:pos="2160"/>
          <w:tab w:val="left" w:pos="2880"/>
          <w:tab w:val="left" w:pos="3600"/>
          <w:tab w:val="left" w:pos="4320"/>
          <w:tab w:val="left" w:pos="5040"/>
        </w:tabs>
      </w:pPr>
      <w:r>
        <w:tab/>
        <w:t xml:space="preserve">This bill also eliminates a parallel tax on the purchaser in a non-deed transfer of a controlling interest in an entity that owns Class 4A commercial properties, equal to </w:t>
      </w:r>
      <w:r w:rsidR="009005BE">
        <w:t>one</w:t>
      </w:r>
      <w:r>
        <w:t xml:space="preserve"> percent of the total consideration paid, if the total consideration for the transfer is in excess of $1 million.</w:t>
      </w:r>
    </w:p>
    <w:p w:rsidR="00255944" w:rsidRDefault="009005BE" w:rsidP="002D7863">
      <w:pPr>
        <w:tabs>
          <w:tab w:val="left" w:pos="360"/>
          <w:tab w:val="left" w:pos="720"/>
          <w:tab w:val="left" w:pos="1440"/>
          <w:tab w:val="left" w:pos="2160"/>
          <w:tab w:val="left" w:pos="2880"/>
          <w:tab w:val="left" w:pos="3600"/>
          <w:tab w:val="left" w:pos="4320"/>
          <w:tab w:val="left" w:pos="5040"/>
        </w:tabs>
      </w:pPr>
      <w:r>
        <w:tab/>
        <w:t>The bill applies to transfers made on or after the first day of the second month next following the bill’s date of enactment.</w:t>
      </w:r>
    </w:p>
    <w:p w:rsidR="00255944" w:rsidRPr="00460841" w:rsidRDefault="00255944" w:rsidP="002D7863">
      <w:pPr>
        <w:tabs>
          <w:tab w:val="left" w:pos="360"/>
          <w:tab w:val="left" w:pos="720"/>
          <w:tab w:val="left" w:pos="1440"/>
          <w:tab w:val="left" w:pos="2160"/>
          <w:tab w:val="left" w:pos="2880"/>
          <w:tab w:val="left" w:pos="3600"/>
          <w:tab w:val="left" w:pos="4320"/>
          <w:tab w:val="left" w:pos="5040"/>
        </w:tabs>
        <w:rPr>
          <w:sz w:val="20"/>
          <w:szCs w:val="20"/>
        </w:rPr>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C310ED" w:rsidRPr="00460841" w:rsidRDefault="00C310ED" w:rsidP="006A6A13">
      <w:pPr>
        <w:rPr>
          <w:sz w:val="20"/>
          <w:szCs w:val="20"/>
        </w:rPr>
      </w:pPr>
    </w:p>
    <w:p w:rsidR="00255944" w:rsidRPr="00460841" w:rsidRDefault="00255944" w:rsidP="002D7863">
      <w:pPr>
        <w:tabs>
          <w:tab w:val="left" w:pos="360"/>
          <w:tab w:val="left" w:pos="720"/>
          <w:tab w:val="left" w:pos="1440"/>
          <w:tab w:val="left" w:pos="2160"/>
          <w:tab w:val="left" w:pos="2880"/>
          <w:tab w:val="left" w:pos="3600"/>
          <w:tab w:val="left" w:pos="4320"/>
          <w:tab w:val="left" w:pos="5040"/>
        </w:tabs>
        <w:rPr>
          <w:sz w:val="20"/>
          <w:szCs w:val="20"/>
        </w:rPr>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Pr="00460841" w:rsidRDefault="00255944" w:rsidP="002D7863">
      <w:pPr>
        <w:tabs>
          <w:tab w:val="left" w:pos="360"/>
          <w:tab w:val="left" w:pos="720"/>
          <w:tab w:val="left" w:pos="1440"/>
          <w:tab w:val="left" w:pos="2160"/>
          <w:tab w:val="left" w:pos="2880"/>
          <w:tab w:val="left" w:pos="3600"/>
          <w:tab w:val="left" w:pos="4320"/>
          <w:tab w:val="left" w:pos="5040"/>
        </w:tabs>
        <w:rPr>
          <w:sz w:val="20"/>
          <w:szCs w:val="20"/>
        </w:rPr>
      </w:pPr>
    </w:p>
    <w:p w:rsidR="00255944" w:rsidRDefault="00E615B8"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pStyle w:val="InterSectionHeading"/>
        <w:tabs>
          <w:tab w:val="left" w:pos="720"/>
          <w:tab w:val="left" w:pos="1440"/>
          <w:tab w:val="left" w:pos="2160"/>
          <w:tab w:val="left" w:pos="2880"/>
          <w:tab w:val="left" w:pos="3600"/>
          <w:tab w:val="left" w:pos="4320"/>
          <w:tab w:val="left" w:pos="5040"/>
        </w:tabs>
      </w:pPr>
      <w:r>
        <w:lastRenderedPageBreak/>
        <w:t>OFFICE OF LEGISLATIVE SERVICES</w:t>
      </w:r>
    </w:p>
    <w:p w:rsidR="00E206CF" w:rsidRDefault="00E206CF" w:rsidP="002D7863">
      <w:pPr>
        <w:tabs>
          <w:tab w:val="left" w:pos="360"/>
          <w:tab w:val="left" w:pos="720"/>
          <w:tab w:val="left" w:pos="1440"/>
          <w:tab w:val="left" w:pos="2160"/>
          <w:tab w:val="left" w:pos="2880"/>
          <w:tab w:val="left" w:pos="3600"/>
          <w:tab w:val="left" w:pos="4320"/>
          <w:tab w:val="left" w:pos="5040"/>
        </w:tabs>
      </w:pPr>
    </w:p>
    <w:p w:rsidR="00255944" w:rsidRDefault="00E206CF" w:rsidP="002D7863">
      <w:pPr>
        <w:tabs>
          <w:tab w:val="left" w:pos="360"/>
          <w:tab w:val="left" w:pos="720"/>
          <w:tab w:val="left" w:pos="1440"/>
          <w:tab w:val="left" w:pos="2160"/>
          <w:tab w:val="left" w:pos="2880"/>
          <w:tab w:val="left" w:pos="3600"/>
          <w:tab w:val="left" w:pos="4320"/>
          <w:tab w:val="left" w:pos="5040"/>
        </w:tabs>
      </w:pPr>
      <w:r>
        <w:tab/>
      </w:r>
      <w:r w:rsidR="00C310ED">
        <w:t xml:space="preserve">The </w:t>
      </w:r>
      <w:r>
        <w:t xml:space="preserve">OLS </w:t>
      </w:r>
      <w:r w:rsidR="00770C91">
        <w:t>expects this</w:t>
      </w:r>
      <w:r>
        <w:t xml:space="preserve"> bill to decrease </w:t>
      </w:r>
      <w:r w:rsidR="00770C91">
        <w:t xml:space="preserve">State General Fund </w:t>
      </w:r>
      <w:r>
        <w:t>revenue</w:t>
      </w:r>
      <w:r w:rsidR="00C310ED">
        <w:t xml:space="preserve"> in the aggregate</w:t>
      </w:r>
      <w:r>
        <w:t xml:space="preserve"> by </w:t>
      </w:r>
      <w:r w:rsidR="006D3FA2">
        <w:t>up to</w:t>
      </w:r>
      <w:r>
        <w:t xml:space="preserve"> $40 million annually if both the tax and fee are repealed.</w:t>
      </w:r>
      <w:r w:rsidR="00770C91">
        <w:t xml:space="preserve">  Most of the revenue loss would originate from repealing the one percent fee imposed on Class 4A commercial properties through the State’s realty transfer fee.</w:t>
      </w:r>
    </w:p>
    <w:p w:rsidR="00E206CF" w:rsidRDefault="000416D5" w:rsidP="00EF17BC">
      <w:pPr>
        <w:tabs>
          <w:tab w:val="left" w:pos="360"/>
          <w:tab w:val="left" w:pos="720"/>
          <w:tab w:val="left" w:pos="1440"/>
          <w:tab w:val="left" w:pos="2160"/>
          <w:tab w:val="left" w:pos="2880"/>
          <w:tab w:val="left" w:pos="3600"/>
          <w:tab w:val="left" w:pos="4320"/>
          <w:tab w:val="left" w:pos="5040"/>
        </w:tabs>
      </w:pPr>
      <w:r>
        <w:tab/>
        <w:t>The bill eliminates an additional one percent fee imposed on Class 4A commercial properties through the State’s realty transfer fee and a one percent tax on the transfer of a controlling interest in an entity that directly or indirectly owns certain Class 4A commercial real property, otherwise known as the controlling interest transfer tax</w:t>
      </w:r>
      <w:r w:rsidR="00770C91">
        <w:t xml:space="preserve"> (CITT)</w:t>
      </w:r>
      <w:r>
        <w:t>.  Based on data provided in the State’s accounting system</w:t>
      </w:r>
      <w:r w:rsidR="006540D5">
        <w:t xml:space="preserve"> from the past five full fiscal years</w:t>
      </w:r>
      <w:r>
        <w:t xml:space="preserve">, </w:t>
      </w:r>
      <w:r w:rsidR="006540D5">
        <w:t>the CITT generated on average $5.7 million annually.  The State’s accounting system does not separate the commercial component of the realty transfer fee’s one percent assessment on real properties greater than $1 million.  However, in recent responses to OLS discussion point questions for the Department of the Treasury, the department indicated that roughly 20 percent of returns filed for the one percent fee were from commercial properties.  Based on data provided in the State’s accounting system from the past five full fiscal years, the one percent assessment on real properties greater than $1 million generated on average $133.2 million annual</w:t>
      </w:r>
      <w:r w:rsidR="00E206CF">
        <w:t xml:space="preserve">ly.  The OLS assumes that 20 percent of that revenue is attributable to commercial properties yielding $26.6 million in revenue annually.  Combining the revenue loss from </w:t>
      </w:r>
      <w:r w:rsidR="00770C91">
        <w:t xml:space="preserve">repealing </w:t>
      </w:r>
      <w:r w:rsidR="00E206CF">
        <w:t xml:space="preserve">the CITT </w:t>
      </w:r>
      <w:r w:rsidR="00770C91">
        <w:t xml:space="preserve">and the one percent assessment on real Class 4A commercial property greater than a $1 million results in a revenue loss of $32.4 million annually. </w:t>
      </w:r>
      <w:r w:rsidR="00500946">
        <w:t xml:space="preserve">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0E4B48" w:rsidP="00EF17BC">
            <w:pPr>
              <w:pStyle w:val="10pointItalics"/>
              <w:rPr>
                <w:sz w:val="24"/>
              </w:rPr>
            </w:pPr>
            <w:bookmarkStart w:id="1" w:name="Section"/>
            <w:r>
              <w:t>Revenue, Finance and Appropriations</w:t>
            </w:r>
            <w:bookmarkEnd w:id="1"/>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FC4FB2" w:rsidP="00EF17BC">
            <w:pPr>
              <w:pStyle w:val="10pointItalics"/>
            </w:pPr>
            <w:bookmarkStart w:id="2" w:name="UserFullName"/>
            <w:bookmarkStart w:id="3" w:name="_GoBack"/>
            <w:bookmarkEnd w:id="2"/>
            <w:r>
              <w:t xml:space="preserve">Jordan </w:t>
            </w:r>
            <w:r w:rsidR="000E4B48">
              <w:t xml:space="preserve">M. </w:t>
            </w:r>
            <w:r>
              <w:t>DiGiovanni</w:t>
            </w:r>
          </w:p>
          <w:bookmarkEnd w:id="3"/>
          <w:p w:rsidR="00EF17BC" w:rsidRDefault="000E4B48" w:rsidP="00EF17BC">
            <w:pPr>
              <w:pStyle w:val="10pointItalics"/>
              <w:rPr>
                <w:sz w:val="24"/>
              </w:rPr>
            </w:pPr>
            <w:r>
              <w:t>Revenue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460841" w:rsidRDefault="00460841" w:rsidP="00EF17BC">
      <w:pPr>
        <w:spacing w:line="287" w:lineRule="atLeast"/>
      </w:pPr>
    </w:p>
    <w:p w:rsidR="00EF17BC" w:rsidRDefault="00290093"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B167AC" w:rsidRDefault="00B167A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290093">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460841">
      <w:headerReference w:type="default" r:id="rId7"/>
      <w:footerReference w:type="first" r:id="rId8"/>
      <w:pgSz w:w="12240" w:h="20160" w:code="5"/>
      <w:pgMar w:top="117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364C" w:rsidRDefault="0057364C">
      <w:r>
        <w:separator/>
      </w:r>
    </w:p>
  </w:endnote>
  <w:endnote w:type="continuationSeparator" w:id="0">
    <w:p w:rsidR="0057364C" w:rsidRDefault="005736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793B1A">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8" ShapeID="_x0000_s2049" DrawAspect="Content" ObjectID="_1664956529"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364C" w:rsidRDefault="0057364C">
      <w:r>
        <w:separator/>
      </w:r>
    </w:p>
  </w:footnote>
  <w:footnote w:type="continuationSeparator" w:id="0">
    <w:p w:rsidR="0057364C" w:rsidRDefault="005736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0093" w:rsidRDefault="00290093" w:rsidP="00290093">
    <w:pPr>
      <w:pStyle w:val="Header"/>
      <w:jc w:val="center"/>
    </w:pPr>
    <w:r>
      <w:t xml:space="preserve">FE to A1269 </w:t>
    </w:r>
  </w:p>
  <w:p w:rsidR="00290093" w:rsidRDefault="00290093" w:rsidP="00290093">
    <w:pPr>
      <w:pStyle w:val="Header"/>
      <w:jc w:val="center"/>
    </w:pPr>
    <w:r>
      <w:fldChar w:fldCharType="begin"/>
    </w:r>
    <w:r>
      <w:instrText xml:space="preserve"> PAGE  \* MERGEFORMAT </w:instrText>
    </w:r>
    <w:r>
      <w:fldChar w:fldCharType="separate"/>
    </w:r>
    <w:r w:rsidR="00793B1A">
      <w:rPr>
        <w:noProof/>
      </w:rPr>
      <w:t>2</w:t>
    </w:r>
    <w:r>
      <w:fldChar w:fldCharType="end"/>
    </w:r>
  </w:p>
  <w:p w:rsidR="00290093" w:rsidRDefault="00290093" w:rsidP="0029009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0093"/>
    <w:rsid w:val="00011EDD"/>
    <w:rsid w:val="00013973"/>
    <w:rsid w:val="000333DF"/>
    <w:rsid w:val="00036860"/>
    <w:rsid w:val="000416D5"/>
    <w:rsid w:val="00042B0B"/>
    <w:rsid w:val="000629F9"/>
    <w:rsid w:val="000701B0"/>
    <w:rsid w:val="00070F62"/>
    <w:rsid w:val="000820F8"/>
    <w:rsid w:val="0008691D"/>
    <w:rsid w:val="00095290"/>
    <w:rsid w:val="000A16EC"/>
    <w:rsid w:val="000B1CCB"/>
    <w:rsid w:val="000C074D"/>
    <w:rsid w:val="000C50EA"/>
    <w:rsid w:val="000E08DD"/>
    <w:rsid w:val="000E17DB"/>
    <w:rsid w:val="000E4B48"/>
    <w:rsid w:val="000E5EE9"/>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093"/>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60841"/>
    <w:rsid w:val="00485323"/>
    <w:rsid w:val="00487ED8"/>
    <w:rsid w:val="004911CB"/>
    <w:rsid w:val="00491918"/>
    <w:rsid w:val="004A10CD"/>
    <w:rsid w:val="004A2E7F"/>
    <w:rsid w:val="004A5A65"/>
    <w:rsid w:val="004B1485"/>
    <w:rsid w:val="004B26B6"/>
    <w:rsid w:val="004C6ECA"/>
    <w:rsid w:val="004D6C2C"/>
    <w:rsid w:val="004D7D86"/>
    <w:rsid w:val="004E1959"/>
    <w:rsid w:val="004E6202"/>
    <w:rsid w:val="004F1874"/>
    <w:rsid w:val="004F2034"/>
    <w:rsid w:val="004F585C"/>
    <w:rsid w:val="004F7F49"/>
    <w:rsid w:val="00500946"/>
    <w:rsid w:val="00510A23"/>
    <w:rsid w:val="00514BE4"/>
    <w:rsid w:val="0051514A"/>
    <w:rsid w:val="00515AC5"/>
    <w:rsid w:val="00520DC2"/>
    <w:rsid w:val="00536F40"/>
    <w:rsid w:val="005470F3"/>
    <w:rsid w:val="00570997"/>
    <w:rsid w:val="0057364C"/>
    <w:rsid w:val="00577AA8"/>
    <w:rsid w:val="005850CE"/>
    <w:rsid w:val="005A6D23"/>
    <w:rsid w:val="005A7ED1"/>
    <w:rsid w:val="005C1947"/>
    <w:rsid w:val="005C1E9D"/>
    <w:rsid w:val="005E03E7"/>
    <w:rsid w:val="005E75AB"/>
    <w:rsid w:val="00601F73"/>
    <w:rsid w:val="00625D15"/>
    <w:rsid w:val="006422F0"/>
    <w:rsid w:val="00644299"/>
    <w:rsid w:val="00651611"/>
    <w:rsid w:val="00653AE2"/>
    <w:rsid w:val="006540D5"/>
    <w:rsid w:val="00661014"/>
    <w:rsid w:val="00665762"/>
    <w:rsid w:val="006671C7"/>
    <w:rsid w:val="006917CF"/>
    <w:rsid w:val="00692BD4"/>
    <w:rsid w:val="006A6A13"/>
    <w:rsid w:val="006B22F3"/>
    <w:rsid w:val="006B2FD5"/>
    <w:rsid w:val="006B5C2D"/>
    <w:rsid w:val="006B6C16"/>
    <w:rsid w:val="006D3FA2"/>
    <w:rsid w:val="006D6F6C"/>
    <w:rsid w:val="006F239A"/>
    <w:rsid w:val="006F39F6"/>
    <w:rsid w:val="006F505D"/>
    <w:rsid w:val="006F7203"/>
    <w:rsid w:val="00722AEF"/>
    <w:rsid w:val="00737A6C"/>
    <w:rsid w:val="00743F01"/>
    <w:rsid w:val="00744AE4"/>
    <w:rsid w:val="00763D60"/>
    <w:rsid w:val="00770C91"/>
    <w:rsid w:val="007833B1"/>
    <w:rsid w:val="007920AC"/>
    <w:rsid w:val="00793B1A"/>
    <w:rsid w:val="007A0F7E"/>
    <w:rsid w:val="007A42C5"/>
    <w:rsid w:val="007A65A1"/>
    <w:rsid w:val="007B1FCF"/>
    <w:rsid w:val="007C4620"/>
    <w:rsid w:val="007E337B"/>
    <w:rsid w:val="007E5EB3"/>
    <w:rsid w:val="00804E41"/>
    <w:rsid w:val="00811BC0"/>
    <w:rsid w:val="008231E8"/>
    <w:rsid w:val="008266B7"/>
    <w:rsid w:val="00854B89"/>
    <w:rsid w:val="00855555"/>
    <w:rsid w:val="00881EF3"/>
    <w:rsid w:val="00883E7C"/>
    <w:rsid w:val="00886261"/>
    <w:rsid w:val="00894971"/>
    <w:rsid w:val="008A2DFC"/>
    <w:rsid w:val="008C0341"/>
    <w:rsid w:val="008D5731"/>
    <w:rsid w:val="008E1349"/>
    <w:rsid w:val="009005BE"/>
    <w:rsid w:val="009046DB"/>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167AC"/>
    <w:rsid w:val="00B4569E"/>
    <w:rsid w:val="00B45879"/>
    <w:rsid w:val="00B551EB"/>
    <w:rsid w:val="00B55F3D"/>
    <w:rsid w:val="00B66CF0"/>
    <w:rsid w:val="00B84AC8"/>
    <w:rsid w:val="00B90F8C"/>
    <w:rsid w:val="00B91C0B"/>
    <w:rsid w:val="00B97E24"/>
    <w:rsid w:val="00BA0BE6"/>
    <w:rsid w:val="00BA2122"/>
    <w:rsid w:val="00BA2F3A"/>
    <w:rsid w:val="00BF071C"/>
    <w:rsid w:val="00BF47F9"/>
    <w:rsid w:val="00C07688"/>
    <w:rsid w:val="00C260AB"/>
    <w:rsid w:val="00C310ED"/>
    <w:rsid w:val="00C32933"/>
    <w:rsid w:val="00C3314D"/>
    <w:rsid w:val="00C75246"/>
    <w:rsid w:val="00C80B0B"/>
    <w:rsid w:val="00C91EDF"/>
    <w:rsid w:val="00C97447"/>
    <w:rsid w:val="00CC6622"/>
    <w:rsid w:val="00CF4638"/>
    <w:rsid w:val="00D20F5D"/>
    <w:rsid w:val="00D376ED"/>
    <w:rsid w:val="00D40E4F"/>
    <w:rsid w:val="00D466D6"/>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06CF"/>
    <w:rsid w:val="00E21963"/>
    <w:rsid w:val="00E22D9A"/>
    <w:rsid w:val="00E262A3"/>
    <w:rsid w:val="00E32D2F"/>
    <w:rsid w:val="00E51E95"/>
    <w:rsid w:val="00E5461B"/>
    <w:rsid w:val="00E615B8"/>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A77F4"/>
    <w:rsid w:val="00FB15DB"/>
    <w:rsid w:val="00FC4FB2"/>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05ABF38A"/>
  <w15:docId w15:val="{EE9337DF-0866-4FDE-8CC8-7628E7186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6422F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422F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616</Words>
  <Characters>3287</Characters>
  <Application>Microsoft Office Word</Application>
  <DocSecurity>0</DocSecurity>
  <Lines>88</Lines>
  <Paragraphs>38</Paragraphs>
  <ScaleCrop>false</ScaleCrop>
  <HeadingPairs>
    <vt:vector size="2" baseType="variant">
      <vt:variant>
        <vt:lpstr>Title</vt:lpstr>
      </vt:variant>
      <vt:variant>
        <vt:i4>1</vt:i4>
      </vt:variant>
    </vt:vector>
  </HeadingPairs>
  <TitlesOfParts>
    <vt:vector size="1" baseType="lpstr">
      <vt:lpstr>A1269   FISCAL ESTIMATE</vt:lpstr>
    </vt:vector>
  </TitlesOfParts>
  <Manager>Jordan M. DiGiovanni;R211</Manager>
  <Company>Office of Legislative Services</Company>
  <LinksUpToDate>false</LinksUpToDate>
  <CharactersWithSpaces>3884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A1269 FISCAL ESTIMATE</dc:title>
  <dc:creator>Assemblyman GREENWALD Assemblyman GIBLIN</dc:creator>
  <cp:keywords>A1269|2|RF |282|265|265|!||</cp:keywords>
  <dc:description>Sent to Sponsor 10/20</dc:description>
  <cp:lastModifiedBy>Sommers, Shelly</cp:lastModifiedBy>
  <cp:revision>2</cp:revision>
  <cp:lastPrinted>2020-10-23T15:08:00Z</cp:lastPrinted>
  <dcterms:created xsi:type="dcterms:W3CDTF">2020-10-23T15:09:00Z</dcterms:created>
  <dcterms:modified xsi:type="dcterms:W3CDTF">2020-10-23T15:09:00Z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