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11" w:rsidRDefault="00CD4F11" w:rsidP="00CD4F11">
      <w:pPr>
        <w:pStyle w:val="bpuReprint"/>
      </w:pPr>
      <w:bookmarkStart w:id="0" w:name="bpuFrontPg"/>
      <w:bookmarkStart w:id="1" w:name="_GoBack"/>
      <w:bookmarkEnd w:id="0"/>
      <w:bookmarkEnd w:id="1"/>
      <w:r>
        <w:t>[First Reprint]</w:t>
      </w:r>
    </w:p>
    <w:p w:rsidR="002E0963" w:rsidRDefault="002E0963" w:rsidP="002E0963">
      <w:pPr>
        <w:pStyle w:val="bpuBill"/>
      </w:pPr>
      <w:r>
        <w:t xml:space="preserve">ASSEMBLY, No. 1285 </w:t>
      </w:r>
    </w:p>
    <w:p w:rsidR="002E0963" w:rsidRPr="002E0963" w:rsidRDefault="002E0963" w:rsidP="002E0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5389824" r:id="rId8"/>
        </w:object>
      </w:r>
    </w:p>
    <w:p w:rsidR="002E0963" w:rsidRDefault="002E0963" w:rsidP="002E0963">
      <w:pPr>
        <w:pStyle w:val="bpuState"/>
      </w:pPr>
      <w:r>
        <w:t>STATE OF NEW JERSEY</w:t>
      </w:r>
    </w:p>
    <w:p w:rsidR="002E0963" w:rsidRDefault="002E0963" w:rsidP="002E0963">
      <w:pPr>
        <w:pStyle w:val="bpuLegislature"/>
      </w:pPr>
      <w:r>
        <w:t>219th LEGISLATURE</w:t>
      </w:r>
    </w:p>
    <w:p w:rsidR="002E0963" w:rsidRDefault="002E0963" w:rsidP="002E0963">
      <w:pPr>
        <w:pStyle w:val="bpuWpGraphic"/>
      </w:pPr>
      <w:r>
        <w:object w:dxaOrig="8985" w:dyaOrig="255">
          <v:shape id="_x0000_i1026" type="#_x0000_t75" style="width:6in;height:12.2pt" o:ole="">
            <v:imagedata r:id="rId7" o:title=""/>
          </v:shape>
          <o:OLEObject Type="Embed" ProgID="WPWin6.1" ShapeID="_x0000_i1026" DrawAspect="Content" ObjectID="_1665389825" r:id="rId9"/>
        </w:object>
      </w:r>
      <w:r>
        <w:t xml:space="preserve">  </w:t>
      </w:r>
    </w:p>
    <w:p w:rsidR="002E0963" w:rsidRDefault="002E0963" w:rsidP="002E0963">
      <w:pPr>
        <w:pStyle w:val="bpuIntro"/>
      </w:pPr>
      <w:r>
        <w:t>PRE-FILED FOR INTRODUCTION IN THE 2020 SESSION</w:t>
      </w:r>
    </w:p>
    <w:p w:rsidR="002E0963" w:rsidRDefault="002E0963" w:rsidP="002E0963">
      <w:pPr>
        <w:pStyle w:val="bpuIntro"/>
      </w:pPr>
    </w:p>
    <w:p w:rsidR="002E0963" w:rsidRDefault="002E0963" w:rsidP="002E0963">
      <w:pPr>
        <w:pStyle w:val="bpuIntro"/>
        <w:sectPr w:rsidR="002E0963" w:rsidSect="00A633B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963" w:rsidRDefault="002E0963" w:rsidP="002E0963">
      <w:pPr>
        <w:pStyle w:val="bpuIntro"/>
      </w:pPr>
    </w:p>
    <w:p w:rsidR="002E0963" w:rsidRDefault="002E0963" w:rsidP="002E0963">
      <w:pPr>
        <w:pStyle w:val="bpuSponsor"/>
      </w:pPr>
      <w:r>
        <w:t>Sponsored by:</w:t>
      </w:r>
    </w:p>
    <w:p w:rsidR="002E0963" w:rsidRDefault="002E0963" w:rsidP="002E0963">
      <w:pPr>
        <w:pStyle w:val="bpuSponsor"/>
      </w:pPr>
      <w:r>
        <w:t>Assemblyman  LOUIS D. GREENWALD</w:t>
      </w:r>
    </w:p>
    <w:p w:rsidR="002E0963" w:rsidRDefault="002E0963" w:rsidP="002E0963">
      <w:pPr>
        <w:pStyle w:val="bpuSponsor"/>
      </w:pPr>
      <w:r>
        <w:t>District 6 (Burlington and Camden)</w:t>
      </w:r>
    </w:p>
    <w:p w:rsidR="002E0963" w:rsidRDefault="006E44B8" w:rsidP="006E44B8">
      <w:pPr>
        <w:pStyle w:val="bpuSponsor"/>
      </w:pPr>
      <w:r>
        <w:t>Assemblyman  NICHOLAS CHIARAVALLOTI</w:t>
      </w:r>
    </w:p>
    <w:p w:rsidR="006E44B8" w:rsidRDefault="006E44B8" w:rsidP="006E44B8">
      <w:pPr>
        <w:pStyle w:val="bpuSponsor"/>
      </w:pPr>
      <w:r>
        <w:t>District 31 (Hudson)</w:t>
      </w:r>
    </w:p>
    <w:p w:rsidR="006E44B8" w:rsidRDefault="00F25A76" w:rsidP="00F25A76">
      <w:pPr>
        <w:pStyle w:val="bpuSponsor"/>
      </w:pPr>
      <w:r>
        <w:t>Assemblyman  WILLIAM F. MOEN, JR.</w:t>
      </w:r>
    </w:p>
    <w:p w:rsidR="00F25A76" w:rsidRDefault="00F25A76" w:rsidP="00F25A76">
      <w:pPr>
        <w:pStyle w:val="bpuSponsor"/>
      </w:pPr>
      <w:r>
        <w:t>District 5 (Camden and Gloucester)</w:t>
      </w:r>
    </w:p>
    <w:p w:rsidR="00F25A76" w:rsidRPr="00F25A76" w:rsidRDefault="00F25A76" w:rsidP="00F25A76">
      <w:pPr>
        <w:pStyle w:val="bpuSponsor"/>
      </w:pPr>
    </w:p>
    <w:p w:rsidR="002E0963" w:rsidRDefault="00A633B1" w:rsidP="00A633B1">
      <w:pPr>
        <w:pStyle w:val="bpuSponsor"/>
      </w:pPr>
      <w:r>
        <w:t>Co-Sponsored by:</w:t>
      </w:r>
    </w:p>
    <w:p w:rsidR="00A633B1" w:rsidRDefault="00A633B1" w:rsidP="00A633B1">
      <w:pPr>
        <w:pStyle w:val="bpuSponsor"/>
      </w:pPr>
      <w:r w:rsidRPr="00A633B1">
        <w:t>Assemblywoman Murphy</w:t>
      </w:r>
    </w:p>
    <w:p w:rsidR="00A633B1" w:rsidRDefault="00A633B1" w:rsidP="00A633B1"/>
    <w:p w:rsidR="00A633B1" w:rsidRPr="00A633B1" w:rsidRDefault="00A633B1" w:rsidP="00A633B1"/>
    <w:p w:rsidR="002E0963" w:rsidRDefault="002E0963" w:rsidP="002E0963">
      <w:pPr>
        <w:pStyle w:val="bpuSponsor"/>
      </w:pPr>
    </w:p>
    <w:p w:rsidR="002E0963" w:rsidRDefault="002E0963" w:rsidP="002E0963">
      <w:pPr>
        <w:pStyle w:val="bpuSponsor"/>
      </w:pPr>
    </w:p>
    <w:p w:rsidR="002E0963" w:rsidRDefault="002E0963" w:rsidP="002E0963">
      <w:pPr>
        <w:pStyle w:val="bpuSponsor"/>
      </w:pPr>
      <w:r>
        <w:t>SYNOPSIS</w:t>
      </w:r>
    </w:p>
    <w:p w:rsidR="002E0963" w:rsidRDefault="002E0963" w:rsidP="002E0963">
      <w:pPr>
        <w:pStyle w:val="bpuNormText"/>
      </w:pPr>
      <w:r>
        <w:tab/>
        <w:t xml:space="preserve">Establishes procedures for awarding of design-build contracts. </w:t>
      </w:r>
    </w:p>
    <w:p w:rsidR="002E0963" w:rsidRDefault="002E0963" w:rsidP="002E0963">
      <w:pPr>
        <w:pStyle w:val="bpuNormText"/>
      </w:pPr>
    </w:p>
    <w:p w:rsidR="002E0963" w:rsidRDefault="002E0963" w:rsidP="002E0963">
      <w:pPr>
        <w:pStyle w:val="bpuSponsor"/>
      </w:pPr>
      <w:r>
        <w:t xml:space="preserve">CURRENT VERSION OF TEXT </w:t>
      </w:r>
    </w:p>
    <w:p w:rsidR="002E0963" w:rsidRDefault="00CD4F11" w:rsidP="002E0963">
      <w:pPr>
        <w:pStyle w:val="bpuNormText"/>
      </w:pPr>
      <w:r>
        <w:tab/>
        <w:t>As reported by the Assembly Transportation and Independent Authorities Committee on August 24, 2020, with amendments.</w:t>
      </w:r>
    </w:p>
    <w:p w:rsidR="002E0963" w:rsidRDefault="002E0963" w:rsidP="002E09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963" w:rsidRDefault="002E09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963" w:rsidSect="002E0963">
          <w:type w:val="continuous"/>
          <w:pgSz w:w="12240" w:h="20160" w:code="5"/>
          <w:pgMar w:top="2160" w:right="2275" w:bottom="1440" w:left="2275" w:header="72" w:footer="720" w:gutter="0"/>
          <w:pgNumType w:start="1"/>
          <w:cols w:space="720"/>
          <w:docGrid w:linePitch="360"/>
        </w:sectPr>
      </w:pPr>
    </w:p>
    <w:p w:rsidR="004E5175" w:rsidRPr="000904BF" w:rsidRDefault="00CD4F11" w:rsidP="004E5175">
      <w:pPr>
        <w:pStyle w:val="HangingAnAct"/>
        <w:rPr>
          <w:rStyle w:val="HangingAnActChar"/>
        </w:rPr>
      </w:pPr>
      <w:r w:rsidRPr="00CD4F11">
        <w:rPr>
          <w:b/>
          <w:smallCaps/>
          <w:spacing w:val="0"/>
          <w:szCs w:val="20"/>
        </w:rPr>
        <w:lastRenderedPageBreak/>
        <w:t>An Act</w:t>
      </w:r>
      <w:r w:rsidRPr="00CD4F11">
        <w:t xml:space="preserve"> establishing procedures for awarding design-build contracts and supplementing Title</w:t>
      </w:r>
      <w:r w:rsidR="0034250B" w:rsidRPr="00CD4F11">
        <w:rPr>
          <w:rFonts w:ascii="Albertus Extra Bold" w:hAnsi="Albertus Extra Bold"/>
          <w:b/>
          <w:vertAlign w:val="superscript"/>
        </w:rPr>
        <w:t>1</w:t>
      </w:r>
      <w:r w:rsidRPr="00CD4F11">
        <w:t xml:space="preserve"> </w:t>
      </w:r>
      <w:r w:rsidRPr="00CD4F11">
        <w:rPr>
          <w:rFonts w:ascii="Albertus Extra Bold" w:hAnsi="Albertus Extra Bold"/>
          <w:b/>
        </w:rPr>
        <w:t>[</w:t>
      </w:r>
      <w:r w:rsidRPr="00CD4F11">
        <w:t>40A of the New Jersey</w:t>
      </w:r>
      <w:r w:rsidRPr="00CD4F11">
        <w:rPr>
          <w:rFonts w:ascii="Albertus Extra Bold" w:hAnsi="Albertus Extra Bold"/>
          <w:b/>
        </w:rPr>
        <w:t>]</w:t>
      </w:r>
      <w:r w:rsidRPr="00CD4F11">
        <w:t xml:space="preserve"> </w:t>
      </w:r>
      <w:r w:rsidRPr="00CD4F11">
        <w:rPr>
          <w:u w:val="single"/>
        </w:rPr>
        <w:t>52 of the Revised</w:t>
      </w:r>
      <w:r w:rsidRPr="00CD4F11">
        <w:t xml:space="preserve"> Statutes.</w:t>
      </w:r>
    </w:p>
    <w:p w:rsidR="004E5175" w:rsidRPr="00D71D68" w:rsidRDefault="004E5175" w:rsidP="004E5175"/>
    <w:p w:rsidR="004E5175" w:rsidRPr="00AA7880" w:rsidRDefault="004E5175" w:rsidP="004E51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5175" w:rsidRDefault="004E5175" w:rsidP="004E5175"/>
    <w:p w:rsidR="004E5175" w:rsidRDefault="004E5175" w:rsidP="004E5175">
      <w:r>
        <w:tab/>
      </w:r>
      <w:r w:rsidRPr="00AE3FE2">
        <w:t>1</w:t>
      </w:r>
      <w:r>
        <w:t>.</w:t>
      </w:r>
      <w:r>
        <w:tab/>
      </w:r>
      <w:r w:rsidRPr="00AE3FE2">
        <w:t>This act shall be known and may be cited as the “Design-Build Construction Services Procurement Act.”</w:t>
      </w:r>
    </w:p>
    <w:p w:rsidR="004E5175" w:rsidRDefault="004E5175" w:rsidP="004E5175"/>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2.</w:t>
      </w:r>
      <w:r w:rsidRPr="00CD4F11">
        <w:rPr>
          <w:spacing w:val="0"/>
        </w:rPr>
        <w:tab/>
        <w:t>As used in this act: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D4F11">
        <w:rPr>
          <w:spacing w:val="0"/>
        </w:rPr>
        <w:tab/>
      </w:r>
      <w:r w:rsidRPr="00CD4F11">
        <w:rPr>
          <w:rFonts w:ascii="Albertus Extra Bold" w:hAnsi="Albertus Extra Bold"/>
          <w:b/>
          <w:vertAlign w:val="superscript"/>
        </w:rPr>
        <w:t>1</w:t>
      </w:r>
      <w:r w:rsidRPr="00CD4F11">
        <w:rPr>
          <w:spacing w:val="0"/>
          <w:u w:val="single"/>
        </w:rPr>
        <w:t>“Contracting unit” means a local contracting unit or a State contracting unit.</w:t>
      </w:r>
      <w:r w:rsidRPr="00CD4F11">
        <w:rPr>
          <w:rFonts w:ascii="Albertus Extra Bold" w:hAnsi="Albertus Extra Bold"/>
          <w:b/>
          <w:vertAlign w:val="superscript"/>
        </w:rPr>
        <w:t>1</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CD4F11">
        <w:rPr>
          <w:spacing w:val="0"/>
        </w:rPr>
        <w:tab/>
        <w:t>“Delivery system” means the procedure used to develop and construct a project</w:t>
      </w:r>
      <w:r w:rsidRPr="00CD4F11">
        <w:rPr>
          <w:b/>
          <w:spacing w:val="0"/>
        </w:rPr>
        <w: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i/>
          <w:spacing w:val="0"/>
        </w:rPr>
      </w:pPr>
      <w:r w:rsidRPr="00CD4F11">
        <w:rPr>
          <w:spacing w:val="0"/>
        </w:rPr>
        <w:tab/>
        <w:t>“Design-bid-build” means the delivery system used in public projects in which a registered design professional develops the project design in its entirety; the contracting unit then solicits bids and awards the contract to the lowest responsible bidder that demonstrates the ability to complete the project specified in the design.</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 xml:space="preserve">“Design professional” means the entity, whether natural person, partnership, joint stock company, corporation, trust, professional corporation, business association, or other legal business entity or successor that provides registered architectural, engineering, or surveying services in accordance with R.S.45:3-1 et seq., and </w:t>
      </w:r>
      <w:r w:rsidRPr="00CD4F11">
        <w:rPr>
          <w:spacing w:val="0"/>
        </w:rPr>
        <w:lastRenderedPageBreak/>
        <w:t>P.L.1938, c.342 (C.45:8-27 et seq.), and that shall be responsible for planning, designing and observing the construction of the project or projects.</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D4F11">
        <w:rPr>
          <w:spacing w:val="0"/>
        </w:rPr>
        <w:tab/>
      </w:r>
      <w:r w:rsidRPr="00CD4F11">
        <w:rPr>
          <w:rFonts w:ascii="Albertus Extra Bold" w:hAnsi="Albertus Extra Bold"/>
          <w:b/>
          <w:vertAlign w:val="superscript"/>
        </w:rPr>
        <w:t>1</w:t>
      </w:r>
      <w:r w:rsidRPr="00CD4F11">
        <w:rPr>
          <w:spacing w:val="0"/>
          <w:u w:val="single"/>
        </w:rPr>
        <w:t>“Local contracting unit” means a government entity that enters into contracts pursuant to the “Public School Contracts Law,” N.J.S.18A:18A-1 et seq.; the “County College Contracts Law,” P.L.1982, c.189 (C.18A:64A-25.1 et seq.); or the “Local Public Contracts Law,” P.L.1971, c.198 (C.40A:11-1 et seq.).</w:t>
      </w:r>
      <w:r w:rsidRPr="00CD4F11">
        <w:rPr>
          <w:rFonts w:ascii="Albertus Extra Bold" w:hAnsi="Albertus Extra Bold"/>
          <w:b/>
          <w:vertAlign w:val="superscript"/>
        </w:rPr>
        <w:t>1</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“Proposal” means an offer to enter into a design-build contract.</w:t>
      </w:r>
    </w:p>
    <w:p w:rsidR="004E5175" w:rsidRDefault="00CD4F11" w:rsidP="00CD4F11">
      <w:r w:rsidRPr="00CD4F11">
        <w:rPr>
          <w:spacing w:val="0"/>
        </w:rPr>
        <w:tab/>
      </w:r>
      <w:r w:rsidRPr="00CD4F11">
        <w:rPr>
          <w:rFonts w:ascii="Albertus Extra Bold" w:hAnsi="Albertus Extra Bold"/>
          <w:b/>
          <w:vertAlign w:val="superscript"/>
        </w:rPr>
        <w:t>1</w:t>
      </w:r>
      <w:r w:rsidRPr="00CD4F11">
        <w:rPr>
          <w:spacing w:val="0"/>
          <w:u w:val="single"/>
        </w:rPr>
        <w:t>“State contracting unit” means a government entity that enters into contracts pursuant to the “State College Contracts Law,” P.L.1986, c.43 (C.18A:64-52 et seq.); P.L.2007, c.137 (C.52:18A-235 et seq.); and chapters 32, 33, and 34 of Title 52 of the Revised Statutes.</w:t>
      </w:r>
      <w:r w:rsidRPr="00CD4F11">
        <w:rPr>
          <w:rFonts w:ascii="Albertus Extra Bold" w:hAnsi="Albertus Extra Bold"/>
          <w:b/>
          <w:vertAlign w:val="superscript"/>
        </w:rPr>
        <w:t>1</w:t>
      </w:r>
    </w:p>
    <w:p w:rsidR="004E5175" w:rsidRDefault="004E5175" w:rsidP="004E5175"/>
    <w:p w:rsidR="004E5175" w:rsidRPr="00425D66" w:rsidRDefault="004E5175" w:rsidP="004E5175">
      <w:r>
        <w:tab/>
      </w:r>
      <w:r w:rsidRPr="00425D66">
        <w:t>3</w:t>
      </w:r>
      <w:r>
        <w:t xml:space="preserve">.  </w:t>
      </w:r>
      <w:r w:rsidRPr="00425D66">
        <w:t>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P.L.    , c.   (C.        ) (pending before the Legislature as this bill), provided the following conditions are met:</w:t>
      </w:r>
    </w:p>
    <w:p w:rsidR="004E5175" w:rsidRPr="00425D66" w:rsidRDefault="004E5175" w:rsidP="004E5175">
      <w:r>
        <w:tab/>
        <w:t>(1)</w:t>
      </w:r>
      <w:r>
        <w:tab/>
      </w:r>
      <w:r w:rsidRPr="00425D66">
        <w:t>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P.L.    , c.   (C.        ) (pending before the Legislature as this bill) and those procedures; and</w:t>
      </w:r>
    </w:p>
    <w:p w:rsidR="004E5175" w:rsidRPr="00425D66" w:rsidRDefault="004E5175" w:rsidP="004E5175">
      <w:r>
        <w:tab/>
        <w:t>(2)</w:t>
      </w:r>
      <w:r>
        <w:tab/>
      </w:r>
      <w:r w:rsidRPr="00425D66">
        <w:t>The contracting unit shall, for each public project or projects under this act, make a determination based on the timeliness of the project or projects that it is in the best interest of the public to enter into a design-build contract to complete the public project or projects.</w:t>
      </w:r>
    </w:p>
    <w:p w:rsidR="004E5175" w:rsidRPr="00425D66" w:rsidRDefault="004E5175" w:rsidP="004E5175">
      <w:r>
        <w:tab/>
        <w:t xml:space="preserve">b.  </w:t>
      </w:r>
      <w:r w:rsidRPr="00425D66">
        <w:t>All workers employed in a design-build construction project shall be paid the prevailing wage determined by the Commissioner of Labor pursuant to the provisions of the "New Jersey Prevailing Wage Act," P.L.1963, c.150 (C.34:11-56.25 et seq.).</w:t>
      </w:r>
    </w:p>
    <w:p w:rsidR="004E5175" w:rsidRPr="00E23651" w:rsidRDefault="004E5175" w:rsidP="004E5175">
      <w:r>
        <w:tab/>
        <w:t xml:space="preserve">c.  </w:t>
      </w:r>
      <w:r w:rsidRPr="00425D66">
        <w:t xml:space="preserve">All design-build construction projects shall be encouraged to adhere to the Leadership in Energy and Environmental Design Green Building Rating System as adopted by the United States </w:t>
      </w:r>
      <w:r w:rsidRPr="00425D66">
        <w:lastRenderedPageBreak/>
        <w:t>Green Building Council</w:t>
      </w:r>
      <w:r w:rsidRPr="00E23651">
        <w:t>,</w:t>
      </w:r>
      <w:r>
        <w:t xml:space="preserve"> </w:t>
      </w:r>
      <w:r w:rsidRPr="00E23651">
        <w:t xml:space="preserve">the Green Globes Program adopted by the Green Building Initiative, or a comparable nationally recognized, accepted, and appropriate sustainable development system. </w:t>
      </w:r>
    </w:p>
    <w:p w:rsidR="004E5175" w:rsidRDefault="004E5175" w:rsidP="004E5175"/>
    <w:p w:rsidR="004E5175" w:rsidRDefault="004E5175" w:rsidP="004E5175">
      <w:r>
        <w:tab/>
        <w:t>4.  a.  The contracting unit</w:t>
      </w:r>
      <w:r w:rsidRPr="00AE3FE2">
        <w:t xml:space="preserve"> shall adopt the following procedure</w:t>
      </w:r>
      <w:r>
        <w:t>s</w:t>
      </w:r>
      <w:r w:rsidRPr="00AE3FE2">
        <w:t xml:space="preserve"> for awarding design-build contracts:</w:t>
      </w:r>
    </w:p>
    <w:p w:rsidR="004E5175" w:rsidRDefault="004E5175" w:rsidP="004E5175">
      <w:r>
        <w:tab/>
        <w:t>(1)</w:t>
      </w:r>
      <w:r>
        <w:tab/>
        <w:t xml:space="preserve">The contracting unit </w:t>
      </w:r>
      <w:r w:rsidRPr="00AE3FE2">
        <w:t xml:space="preserve">shall </w:t>
      </w:r>
      <w:r w:rsidRPr="00833286">
        <w:t>appoint a</w:t>
      </w:r>
      <w:r w:rsidRPr="00AE3FE2">
        <w:t xml:space="preserve"> registered design profession</w:t>
      </w:r>
      <w:r>
        <w:t xml:space="preserve">al to </w:t>
      </w:r>
      <w:r w:rsidRPr="00AE3FE2">
        <w:t>provide technical advice, construction review services</w:t>
      </w:r>
      <w:r>
        <w:t>,</w:t>
      </w:r>
      <w:r w:rsidRPr="00AE3FE2">
        <w:t xml:space="preserve"> and professional e</w:t>
      </w:r>
      <w:r>
        <w:t>xpertise on behalf of the contracting unit;</w:t>
      </w:r>
    </w:p>
    <w:p w:rsidR="004E5175" w:rsidRDefault="004E5175" w:rsidP="004E5175">
      <w:r>
        <w:tab/>
        <w:t>(2)</w:t>
      </w:r>
      <w:r>
        <w:tab/>
        <w:t xml:space="preserve">The contracting unit </w:t>
      </w:r>
      <w:r w:rsidRPr="00AE3FE2">
        <w:t>shall develop, with the assistance of the design professio</w:t>
      </w:r>
      <w:r>
        <w:t xml:space="preserve">nal, </w:t>
      </w:r>
      <w:r w:rsidRPr="00833286">
        <w:t>performance criteria and</w:t>
      </w:r>
      <w:r>
        <w:t xml:space="preserve"> a scope of work statement </w:t>
      </w:r>
      <w:r w:rsidRPr="00AE3FE2">
        <w:t>that defines the project and provides prospective design-builders with sufficient in</w:t>
      </w:r>
      <w:r>
        <w:t>formation regarding the contracting unit’s</w:t>
      </w:r>
      <w:r w:rsidRPr="00AE3FE2">
        <w:t xml:space="preserve"> requirements. The statement shall include</w:t>
      </w:r>
      <w:r>
        <w:t>:</w:t>
      </w:r>
      <w:r w:rsidRPr="00AE3FE2">
        <w:t xml:space="preserve"> </w:t>
      </w:r>
      <w:r>
        <w:t xml:space="preserve">evaluation factor </w:t>
      </w:r>
      <w:r w:rsidRPr="00AE3FE2">
        <w:t>criteria and preliminary design, general budget parameters, and general schedule or delivery requirements to enable the design-builders to submit proposals</w:t>
      </w:r>
      <w:r>
        <w:t xml:space="preserve"> which meet the contracting unit</w:t>
      </w:r>
      <w:r w:rsidRPr="00AE3FE2">
        <w:t>’s needs. When the design-build selection p</w:t>
      </w:r>
      <w:r>
        <w:t>rocedure is used and the contracting unit</w:t>
      </w:r>
      <w:r w:rsidRPr="00AE3FE2">
        <w:t xml:space="preserve"> contracts for development of the sco</w:t>
      </w:r>
      <w:r>
        <w:t xml:space="preserve">pe of work statement, the </w:t>
      </w:r>
      <w:r w:rsidRPr="00833286">
        <w:t>design-builder</w:t>
      </w:r>
      <w:r w:rsidRPr="00AE3FE2">
        <w:t xml:space="preserve"> shall contract for architectural or engineering services as defined by and in accordance </w:t>
      </w:r>
      <w:r>
        <w:t xml:space="preserve">with R.S.45:3-1 et seq., P.L.1938, c.342 (C.45:8-27 et seq.), and </w:t>
      </w:r>
      <w:r w:rsidRPr="00AE3FE2">
        <w:t xml:space="preserve">all </w:t>
      </w:r>
      <w:r>
        <w:t>other applicable licensing statutes;</w:t>
      </w:r>
    </w:p>
    <w:p w:rsidR="004E5175" w:rsidRDefault="004E5175" w:rsidP="004E5175">
      <w:r>
        <w:tab/>
        <w:t>(3)</w:t>
      </w:r>
      <w:r>
        <w:tab/>
        <w:t>Once the contracting unit</w:t>
      </w:r>
      <w:r w:rsidRPr="00AE3FE2">
        <w:t xml:space="preserve"> has developed a scope of work statement whi</w:t>
      </w:r>
      <w:r>
        <w:t>ch adequately defines the contracting unit</w:t>
      </w:r>
      <w:r w:rsidRPr="00AE3FE2">
        <w:t>’s requirements for the</w:t>
      </w:r>
      <w:r>
        <w:t xml:space="preserve"> project or projects, the contracting unit</w:t>
      </w:r>
      <w:r w:rsidRPr="00AE3FE2">
        <w:t xml:space="preserve"> shall solicit proposals </w:t>
      </w:r>
      <w:r>
        <w:t>from design-builders. The contracting unit</w:t>
      </w:r>
      <w:r w:rsidRPr="00AE3FE2">
        <w:t xml:space="preserve"> shall solicit proposals in accordance with the requirements of</w:t>
      </w:r>
      <w:r>
        <w:t xml:space="preserve"> the applicable public procurement laws of the State of </w:t>
      </w:r>
      <w:smartTag w:uri="urn:schemas-microsoft-com:office:smarttags" w:element="place">
        <w:smartTag w:uri="urn:schemas-microsoft-com:office:smarttags" w:element="State">
          <w:r>
            <w:t>New Jersey</w:t>
          </w:r>
        </w:smartTag>
      </w:smartTag>
      <w:r w:rsidRPr="00AE3FE2">
        <w:t>.</w:t>
      </w:r>
    </w:p>
    <w:p w:rsidR="004E5175" w:rsidRDefault="004E5175" w:rsidP="004E5175">
      <w:r>
        <w:tab/>
        <w:t>(4)</w:t>
      </w:r>
      <w:r>
        <w:tab/>
        <w:t>The contracting unit</w:t>
      </w:r>
      <w:r w:rsidRPr="00AE3FE2">
        <w:t xml:space="preserve"> </w:t>
      </w:r>
      <w:r>
        <w:t xml:space="preserve">shall establish a technical review committee, which shall consist of a representative of the contracting unit, the contracting unit’s project manager, the contracting unit’s authorized design professional, and the contracting unit’s attorney. The </w:t>
      </w:r>
      <w:r w:rsidRPr="00833286">
        <w:t>technical</w:t>
      </w:r>
      <w:r>
        <w:t xml:space="preserve"> review committee shall have the responsibility to evaluate </w:t>
      </w:r>
      <w:r w:rsidRPr="00833286">
        <w:t xml:space="preserve">bids </w:t>
      </w:r>
      <w:r>
        <w:t xml:space="preserve">based on rating and scoring proposals, and </w:t>
      </w:r>
      <w:r w:rsidRPr="00AE3FE2">
        <w:t xml:space="preserve">shall evaluate design-builders based on their qualifications. </w:t>
      </w:r>
    </w:p>
    <w:p w:rsidR="004E5175" w:rsidRDefault="004E5175" w:rsidP="004E5175">
      <w:r>
        <w:tab/>
        <w:t xml:space="preserve">b.  </w:t>
      </w:r>
      <w:r w:rsidRPr="00AE3FE2">
        <w:t>The fa</w:t>
      </w:r>
      <w:r>
        <w:t xml:space="preserve">ctors used to evaluate </w:t>
      </w:r>
      <w:r w:rsidRPr="00AE3FE2">
        <w:t>proposals shall be stated in the solicitation and shall include</w:t>
      </w:r>
      <w:r>
        <w:t>, but not be limited to:</w:t>
      </w:r>
      <w:r w:rsidRPr="00AE3FE2">
        <w:t xml:space="preserve"> specialized experience and technical competence, </w:t>
      </w:r>
      <w:r>
        <w:t xml:space="preserve">training certification of </w:t>
      </w:r>
      <w:r w:rsidRPr="00833286">
        <w:t>professional and field</w:t>
      </w:r>
      <w:r>
        <w:t xml:space="preserve"> workforce, principal location of </w:t>
      </w:r>
      <w:r w:rsidRPr="00833286">
        <w:t>the</w:t>
      </w:r>
      <w:r>
        <w:t xml:space="preserve"> company, </w:t>
      </w:r>
      <w:r w:rsidRPr="00AE3FE2">
        <w:t xml:space="preserve">capability to perform, </w:t>
      </w:r>
      <w:r>
        <w:t xml:space="preserve">safety modification rating, </w:t>
      </w:r>
      <w:r w:rsidRPr="00AE3FE2">
        <w:t xml:space="preserve">past performance of the </w:t>
      </w:r>
      <w:r w:rsidRPr="00833286">
        <w:t>individual members of the</w:t>
      </w:r>
      <w:r>
        <w:t xml:space="preserve"> </w:t>
      </w:r>
      <w:r w:rsidRPr="00AE3FE2">
        <w:t xml:space="preserve">design-builder’s team </w:t>
      </w:r>
      <w:r w:rsidRPr="00833286">
        <w:t>in their respective capacities</w:t>
      </w:r>
      <w:r>
        <w:t xml:space="preserve">, </w:t>
      </w:r>
      <w:r w:rsidRPr="00AE3FE2">
        <w:t>including the architect-engineer and co</w:t>
      </w:r>
      <w:r>
        <w:t xml:space="preserve">nstruction members of the team, </w:t>
      </w:r>
      <w:r w:rsidRPr="00AE3FE2">
        <w:t>and other appropriate technical and qualification factors</w:t>
      </w:r>
      <w:r>
        <w:t xml:space="preserve"> </w:t>
      </w:r>
      <w:r w:rsidRPr="00833286">
        <w:t xml:space="preserve">as determined by the </w:t>
      </w:r>
      <w:r w:rsidRPr="00870117">
        <w:t>Division of Property Management and Construction</w:t>
      </w:r>
      <w:r>
        <w:t xml:space="preserve"> in the Department of the Treasury </w:t>
      </w:r>
      <w:r w:rsidRPr="00870117">
        <w:t>or the Department of Transportation</w:t>
      </w:r>
      <w:r w:rsidRPr="00833286">
        <w:t>, where applicable</w:t>
      </w:r>
      <w:r w:rsidRPr="00AE3FE2">
        <w:t xml:space="preserve">. Each </w:t>
      </w:r>
      <w:r w:rsidRPr="00AE3FE2">
        <w:lastRenderedPageBreak/>
        <w:t>solicitation for proposals must establish the relative importance assigned to the evaluation factors and sub</w:t>
      </w:r>
      <w:r>
        <w:t>-</w:t>
      </w:r>
      <w:r w:rsidRPr="00AE3FE2">
        <w:t>factors to be considered.</w:t>
      </w:r>
    </w:p>
    <w:p w:rsidR="004E5175" w:rsidRPr="00833286" w:rsidRDefault="004E5175" w:rsidP="004E5175">
      <w:r>
        <w:tab/>
        <w:t xml:space="preserve">c.  </w:t>
      </w:r>
      <w:r w:rsidRPr="00AE3FE2">
        <w:t xml:space="preserve">A solicitation for </w:t>
      </w:r>
      <w:r w:rsidRPr="00833286">
        <w:t>proposals</w:t>
      </w:r>
      <w:r>
        <w:t xml:space="preserve"> </w:t>
      </w:r>
      <w:r w:rsidRPr="00AE3FE2">
        <w:t>shall state the maximum number of design-builders that are to be selected to submit proposals. The maximum number specified in the</w:t>
      </w:r>
      <w:r>
        <w:t xml:space="preserve"> solicitation </w:t>
      </w:r>
      <w:r w:rsidRPr="00833286">
        <w:t>shall be at least two and</w:t>
      </w:r>
      <w:r>
        <w:t xml:space="preserve"> shall not exceed five.</w:t>
      </w:r>
      <w:r w:rsidRPr="00AE3FE2">
        <w:t xml:space="preserve"> </w:t>
      </w:r>
    </w:p>
    <w:p w:rsidR="004E5175" w:rsidRDefault="004E5175" w:rsidP="004E5175">
      <w:r w:rsidRPr="00833286">
        <w:tab/>
        <w:t>d.</w:t>
      </w:r>
      <w:r>
        <w:t xml:space="preserve">  </w:t>
      </w:r>
      <w:r w:rsidRPr="00AE3FE2">
        <w:t xml:space="preserve">On the basis of </w:t>
      </w:r>
      <w:r>
        <w:t>the proposal, the technical review committee</w:t>
      </w:r>
      <w:r w:rsidRPr="00AE3FE2">
        <w:t xml:space="preserve"> shall select the m</w:t>
      </w:r>
      <w:r>
        <w:t xml:space="preserve">ost highly qualified number of </w:t>
      </w:r>
      <w:r w:rsidRPr="00AE3FE2">
        <w:t xml:space="preserve">design-builders specified in the solicitation and request the selected design-builders to submit </w:t>
      </w:r>
      <w:r>
        <w:t xml:space="preserve">a second proposal </w:t>
      </w:r>
      <w:r w:rsidRPr="00833286">
        <w:t>and sealed bid</w:t>
      </w:r>
      <w:r w:rsidRPr="00AE3FE2">
        <w:t xml:space="preserve">. Each solicitation for </w:t>
      </w:r>
      <w:r>
        <w:t>second</w:t>
      </w:r>
      <w:r w:rsidRPr="00AE3FE2">
        <w:t xml:space="preserve"> proposals must establish the relative importance assigned to the evaluation factors to be considered. </w:t>
      </w:r>
    </w:p>
    <w:p w:rsidR="004E5175" w:rsidRPr="00833286" w:rsidRDefault="004E5175" w:rsidP="004E5175">
      <w:r>
        <w:tab/>
        <w:t>e.  The technical review committee</w:t>
      </w:r>
      <w:r w:rsidRPr="00AE3FE2">
        <w:t xml:space="preserve"> shall evaluate each </w:t>
      </w:r>
      <w:r>
        <w:t xml:space="preserve">second </w:t>
      </w:r>
      <w:r w:rsidRPr="00AE3FE2">
        <w:t xml:space="preserve">proposal based on the technical submission for the proposal, including design concepts or proposed solutions to requirements addressed within the scope of work, and the evaluation factors, including </w:t>
      </w:r>
      <w:r w:rsidR="0056109F">
        <w:t>a minimum of 50 percent</w:t>
      </w:r>
      <w:r w:rsidRPr="00833286">
        <w:t xml:space="preserve"> consideration based on the</w:t>
      </w:r>
      <w:r>
        <w:t xml:space="preserve"> cost of the bid.</w:t>
      </w:r>
    </w:p>
    <w:p w:rsidR="004E5175" w:rsidRDefault="004E5175" w:rsidP="004E5175">
      <w:r>
        <w:tab/>
        <w:t>f.  The contracting unit</w:t>
      </w:r>
      <w:r w:rsidRPr="00AE3FE2">
        <w:t xml:space="preserve"> shall separately evaluate the submissions described above, and award the contract in accordance</w:t>
      </w:r>
      <w:r>
        <w:t xml:space="preserve"> with section 8 of P.L.    , c.   (C.        ) (pending before the Legislature as this bill).  </w:t>
      </w:r>
    </w:p>
    <w:p w:rsidR="004E5175" w:rsidRDefault="004E5175" w:rsidP="004E5175"/>
    <w:p w:rsidR="004E5175" w:rsidRPr="0093228A" w:rsidRDefault="004E5175" w:rsidP="004E5175">
      <w:r>
        <w:tab/>
        <w:t xml:space="preserve">5.  </w:t>
      </w:r>
      <w:r w:rsidRPr="0093228A">
        <w:t xml:space="preserve">a.  Each request for proposals shall contain evaluation factors prepared by a design professional </w:t>
      </w:r>
      <w:r w:rsidRPr="00127597">
        <w:t>as defined in</w:t>
      </w:r>
      <w:r>
        <w:t xml:space="preserve"> section </w:t>
      </w:r>
      <w:r w:rsidRPr="00127597">
        <w:t>2</w:t>
      </w:r>
      <w:r w:rsidRPr="0093228A">
        <w:t xml:space="preserve"> of P.L.    , c.   (C.    </w:t>
      </w:r>
      <w:r>
        <w:t xml:space="preserve"> </w:t>
      </w:r>
      <w:r w:rsidRPr="0093228A">
        <w:t xml:space="preserve">  ) (pending before the Legislature as this bill).</w:t>
      </w:r>
      <w:r>
        <w:t xml:space="preserve">  </w:t>
      </w:r>
      <w:r w:rsidRPr="0093228A">
        <w:t xml:space="preserve">The design professional that develops the evaluation factors shall be disqualified from submitting a proposal to enter into the design-build contract, and the design-builder shall not be permitted to delegate services under the design-build contract to the design professional that developed the evaluation factors. </w:t>
      </w:r>
    </w:p>
    <w:p w:rsidR="004E5175" w:rsidRPr="0093228A" w:rsidRDefault="004E5175" w:rsidP="004E5175">
      <w:r>
        <w:tab/>
        <w:t xml:space="preserve">b.  </w:t>
      </w:r>
      <w:r w:rsidRPr="0093228A">
        <w:t>The design professional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4E5175" w:rsidRPr="0093228A" w:rsidRDefault="004E5175" w:rsidP="004E5175">
      <w:r>
        <w:tab/>
        <w:t>c.</w:t>
      </w:r>
      <w:r>
        <w:tab/>
      </w:r>
      <w:r w:rsidRPr="0093228A">
        <w:t>The contracting unit, in consultation with the design professional,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E5175" w:rsidRDefault="004E5175" w:rsidP="004E5175"/>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6.  a.  Solicitations for each design-build contract shall include, but not be limited to, the following:</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(1)</w:t>
      </w:r>
      <w:r w:rsidRPr="00CD4F11">
        <w:rPr>
          <w:spacing w:val="0"/>
        </w:rPr>
        <w:tab/>
        <w:t>The identity of the contracting unit which will award the design-build contract;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lastRenderedPageBreak/>
        <w:tab/>
        <w:t>(2)</w:t>
      </w:r>
      <w:r w:rsidRPr="00CD4F11">
        <w:rPr>
          <w:spacing w:val="0"/>
        </w:rPr>
        <w:tab/>
        <w:t>The procedures to be followed for admitting proposals, the criteria for evaluation of proposals and their relative weight, and the procedures for making awards, including a reference to the requirements of this act and the regulations of the contracting unit;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(3)</w:t>
      </w:r>
      <w:r w:rsidRPr="00CD4F11">
        <w:rPr>
          <w:spacing w:val="0"/>
        </w:rPr>
        <w:tab/>
        <w:t>The proposed terms and conditions for the design-build contract;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(4)</w:t>
      </w:r>
      <w:r w:rsidRPr="00CD4F11">
        <w:rPr>
          <w:spacing w:val="0"/>
        </w:rPr>
        <w:tab/>
        <w:t>A description of the drawings, specifications, or other submittals to be submitted with the proposal, with guidance as to the form and level of completeness of the drawings, specifications, or submittals that will be acceptable;</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(5)</w:t>
      </w:r>
      <w:r w:rsidRPr="00CD4F11">
        <w:rPr>
          <w:spacing w:val="0"/>
        </w:rPr>
        <w:tab/>
        <w:t>A schedule for planned commencement and completion of the design-build contract;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(6)</w:t>
      </w:r>
      <w:r w:rsidRPr="00CD4F11">
        <w:rPr>
          <w:spacing w:val="0"/>
        </w:rPr>
        <w:tab/>
        <w:t>Budget limits for the design-build contract, if any;</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(7)</w:t>
      </w:r>
      <w:r w:rsidRPr="00CD4F11">
        <w:rPr>
          <w:spacing w:val="0"/>
        </w:rPr>
        <w:tab/>
        <w:t>Affirmative action, disadvantaged business or set-aside goals or requirements for the design-build contract, as determined by the contracting unit;</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(8)</w:t>
      </w:r>
      <w:r w:rsidRPr="00CD4F11">
        <w:rPr>
          <w:spacing w:val="0"/>
        </w:rPr>
        <w:tab/>
        <w:t>The required qualifications of the design-builder;</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(9)</w:t>
      </w:r>
      <w:r w:rsidRPr="00CD4F11">
        <w:rPr>
          <w:spacing w:val="0"/>
        </w:rPr>
        <w:tab/>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Cs/>
          <w:spacing w:val="0"/>
          <w:u w:val="single"/>
        </w:rPr>
      </w:pPr>
      <w:r w:rsidRPr="00CD4F11">
        <w:rPr>
          <w:spacing w:val="0"/>
        </w:rPr>
        <w:tab/>
        <w:t xml:space="preserve">(10)  A statement that </w:t>
      </w:r>
      <w:r w:rsidRPr="00CD4F11">
        <w:rPr>
          <w:rFonts w:ascii="Albertus Extra Bold" w:hAnsi="Albertus Extra Bold"/>
          <w:b/>
          <w:vertAlign w:val="superscript"/>
        </w:rPr>
        <w:t>1</w:t>
      </w:r>
      <w:r w:rsidRPr="00CD4F11">
        <w:rPr>
          <w:rFonts w:ascii="Albertus Extra Bold" w:hAnsi="Albertus Extra Bold"/>
          <w:b/>
        </w:rPr>
        <w:t>[</w:t>
      </w:r>
      <w:r w:rsidRPr="00CD4F11">
        <w:rPr>
          <w:spacing w:val="0"/>
        </w:rPr>
        <w:t>all employees have graduated from a registered apprenticeship program, which is registered with, and approved by, the United States Department of Labor, and which</w:t>
      </w:r>
      <w:r w:rsidRPr="00CD4F11">
        <w:rPr>
          <w:spacing w:val="0"/>
          <w:u w:val="single"/>
        </w:rPr>
        <w:t xml:space="preserve"> </w:t>
      </w:r>
      <w:r w:rsidRPr="00CD4F11">
        <w:rPr>
          <w:spacing w:val="0"/>
        </w:rPr>
        <w:t xml:space="preserve">provides each trainee with combined classroom and on-the-job training under the direct and close supervision of a highly skilled worker in an occupation recognized as an </w:t>
      </w:r>
      <w:proofErr w:type="spellStart"/>
      <w:r w:rsidRPr="00CD4F11">
        <w:rPr>
          <w:spacing w:val="0"/>
        </w:rPr>
        <w:t>apprenticeable</w:t>
      </w:r>
      <w:proofErr w:type="spellEnd"/>
      <w:r w:rsidRPr="00CD4F11">
        <w:rPr>
          <w:spacing w:val="0"/>
        </w:rPr>
        <w:t xml:space="preserve"> trade, and meets the program performance standards of enrollment and graduation under 29 C.F.R. 29.6 (2011). </w:t>
      </w:r>
      <w:r w:rsidRPr="00CD4F11">
        <w:rPr>
          <w:bCs/>
          <w:spacing w:val="0"/>
        </w:rPr>
        <w:t xml:space="preserve"> Every contract subject to the provisions of this section shall provide that every worker employed in the performance of that contract is an apprentice participating in a registered apprenticeship program or has completed a registered apprenticeship, unless the contractor or subcontractor certifies that every worker shall be paid not less than the </w:t>
      </w:r>
      <w:proofErr w:type="spellStart"/>
      <w:r w:rsidRPr="00CD4F11">
        <w:rPr>
          <w:bCs/>
          <w:spacing w:val="0"/>
        </w:rPr>
        <w:t>journeyworker’s</w:t>
      </w:r>
      <w:proofErr w:type="spellEnd"/>
      <w:r w:rsidRPr="00CD4F11">
        <w:rPr>
          <w:bCs/>
          <w:spacing w:val="0"/>
        </w:rPr>
        <w:t xml:space="preserve"> rate established for the </w:t>
      </w:r>
      <w:proofErr w:type="spellStart"/>
      <w:r w:rsidRPr="00CD4F11">
        <w:rPr>
          <w:bCs/>
          <w:spacing w:val="0"/>
        </w:rPr>
        <w:t>apprenticeable</w:t>
      </w:r>
      <w:proofErr w:type="spellEnd"/>
      <w:r w:rsidRPr="00CD4F11">
        <w:rPr>
          <w:bCs/>
          <w:spacing w:val="0"/>
        </w:rPr>
        <w:t xml:space="preserve"> trade performed pursuant to P.L.1963, c.150 (C.34:11-56.25 et seq.)</w:t>
      </w:r>
      <w:r w:rsidRPr="00CD4F11">
        <w:rPr>
          <w:rFonts w:ascii="Albertus Extra Bold" w:hAnsi="Albertus Extra Bold"/>
          <w:b/>
          <w:bCs/>
        </w:rPr>
        <w:t>]</w:t>
      </w:r>
      <w:r w:rsidRPr="00CD4F11">
        <w:rPr>
          <w:bCs/>
          <w:spacing w:val="0"/>
        </w:rPr>
        <w:t xml:space="preserve"> </w:t>
      </w:r>
      <w:r w:rsidRPr="00CD4F11">
        <w:rPr>
          <w:bCs/>
          <w:spacing w:val="0"/>
          <w:u w:val="single"/>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r w:rsidRPr="00CD4F11">
        <w:rPr>
          <w:rFonts w:ascii="Albertus Extra Bold" w:hAnsi="Albertus Extra Bold"/>
          <w:b/>
          <w:bCs/>
          <w:vertAlign w:val="superscript"/>
        </w:rPr>
        <w:t>1</w:t>
      </w:r>
    </w:p>
    <w:p w:rsidR="00CD4F11" w:rsidRPr="00CD4F11" w:rsidRDefault="00CD4F11" w:rsidP="00CD4F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4F11">
        <w:rPr>
          <w:spacing w:val="0"/>
        </w:rPr>
        <w:tab/>
        <w:t xml:space="preserve">b.  The solicitation may include any other information which the contracting unit in its discretion chooses to supply, including without limitation, surveys, soils reports, drawings or models of existing structures, environmental studies, photographs or references to public records. </w:t>
      </w:r>
    </w:p>
    <w:p w:rsidR="004E5175" w:rsidRPr="00A724AA" w:rsidRDefault="00CD4F11" w:rsidP="00CD4F11">
      <w:r w:rsidRPr="00CD4F11">
        <w:rPr>
          <w:spacing w:val="0"/>
        </w:rPr>
        <w:lastRenderedPageBreak/>
        <w:tab/>
        <w:t>c.  Notice of solicitations shall be advertised in the same manner in which proposals generally are solicited for public projects.</w:t>
      </w:r>
    </w:p>
    <w:p w:rsidR="004E5175" w:rsidRDefault="004E5175" w:rsidP="004E5175"/>
    <w:p w:rsidR="004E5175" w:rsidRDefault="004E5175" w:rsidP="004E5175">
      <w:r>
        <w:tab/>
        <w:t xml:space="preserve">7.  a.  </w:t>
      </w:r>
      <w:r w:rsidRPr="00AE3FE2">
        <w:t xml:space="preserve">Each design-build team </w:t>
      </w:r>
      <w:r>
        <w:t>shall</w:t>
      </w:r>
      <w:r w:rsidRPr="00AE3FE2">
        <w:t xml:space="preserve"> include a licensed design professio</w:t>
      </w:r>
      <w:r>
        <w:t>nal independent from the contracting unit</w:t>
      </w:r>
      <w:r w:rsidRPr="00AE3FE2">
        <w:t xml:space="preserve">’s licensed architect or engineer. The licensed design professional must be named in any </w:t>
      </w:r>
      <w:r>
        <w:t>proposal submitted to the contracting unit</w:t>
      </w:r>
      <w:r w:rsidRPr="00AE3FE2">
        <w:t xml:space="preserve">. </w:t>
      </w:r>
    </w:p>
    <w:p w:rsidR="004E5175" w:rsidRDefault="004E5175" w:rsidP="004E5175">
      <w:r>
        <w:tab/>
        <w:t xml:space="preserve">b.  </w:t>
      </w:r>
      <w:r w:rsidRPr="00975813">
        <w:t>Proposals</w:t>
      </w:r>
      <w:r w:rsidRPr="00AE3FE2">
        <w:t xml:space="preserve"> shall be sealed and shall not be opened until expiration of the time established for making proposals as set forth in the solicitation.</w:t>
      </w:r>
    </w:p>
    <w:p w:rsidR="004E5175" w:rsidRDefault="004E5175" w:rsidP="004E5175">
      <w:r>
        <w:tab/>
        <w:t xml:space="preserve">c.  </w:t>
      </w:r>
      <w:r w:rsidRPr="00AE3FE2">
        <w:t xml:space="preserve">Proposals shall identify each person to whom the design-builder proposes to delegate obligations under the design-build contract. Persons so identified will not be replaced without </w:t>
      </w:r>
      <w:r>
        <w:t>the approval of the contracting unit</w:t>
      </w:r>
      <w:r w:rsidRPr="00AE3FE2">
        <w:t xml:space="preserve">. </w:t>
      </w:r>
    </w:p>
    <w:p w:rsidR="004E5175" w:rsidRDefault="004E5175" w:rsidP="004E5175">
      <w:r>
        <w:tab/>
        <w:t xml:space="preserve">d.  </w:t>
      </w:r>
      <w:r w:rsidRPr="00AE3FE2">
        <w:t xml:space="preserve">Proposals shall establish </w:t>
      </w:r>
      <w:r>
        <w:t>the</w:t>
      </w:r>
      <w:r w:rsidRPr="00AE3FE2">
        <w:t xml:space="preserve"> cost of the design-build contract which will not be exceeded if the proposal is accepted without change. Afterward, the maximum cost in the proposal may be converted to fixed prices by negotia</w:t>
      </w:r>
      <w:r>
        <w:t xml:space="preserve">ted agreement between the contracting unit </w:t>
      </w:r>
      <w:r w:rsidRPr="00AE3FE2">
        <w:t xml:space="preserve">and the design-builder. </w:t>
      </w:r>
    </w:p>
    <w:p w:rsidR="004E5175" w:rsidRDefault="004E5175" w:rsidP="004E5175">
      <w:r>
        <w:tab/>
        <w:t xml:space="preserve">e.  </w:t>
      </w:r>
      <w:r w:rsidRPr="00AE3FE2">
        <w:t>All proposals shall be received and opened at a previously announced time, where they shall be publicly read and recorded.</w:t>
      </w:r>
    </w:p>
    <w:p w:rsidR="004E5175" w:rsidRDefault="004E5175" w:rsidP="004E5175">
      <w:r>
        <w:tab/>
        <w:t>f.</w:t>
      </w:r>
      <w:r>
        <w:tab/>
      </w:r>
      <w:r w:rsidRPr="00AE3FE2">
        <w:t>Unless and until a proposal is accepted, the drawings, specifications and other information in the proposal shall remain the property of the person</w:t>
      </w:r>
      <w:r>
        <w:t xml:space="preserve"> making the proposal. The contracting unit</w:t>
      </w:r>
      <w:r w:rsidRPr="00AE3FE2">
        <w:t xml:space="preserve">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w:t>
      </w:r>
      <w:r>
        <w:t>ownership</w:t>
      </w:r>
      <w:r w:rsidRPr="00AE3FE2">
        <w:t xml:space="preserve"> of the drawings, specifications, and information therein, shall be determined in accordance with existing law and the terms of the design-build contract.</w:t>
      </w:r>
    </w:p>
    <w:p w:rsidR="004E5175" w:rsidRDefault="004E5175" w:rsidP="004E5175"/>
    <w:p w:rsidR="004E5175" w:rsidRDefault="004E5175" w:rsidP="004E5175">
      <w:r>
        <w:tab/>
        <w:t xml:space="preserve">8.  a.  </w:t>
      </w:r>
      <w:r w:rsidRPr="00AE3FE2">
        <w:t>Once received, proposals shall be submitted to the design pro</w:t>
      </w:r>
      <w:r>
        <w:t xml:space="preserve">fessional retained by the contracting unit.  </w:t>
      </w:r>
      <w:r w:rsidRPr="00AE3FE2">
        <w:t>No proposal shall be considered until certification is issued by the design pro</w:t>
      </w:r>
      <w:r>
        <w:t xml:space="preserve">fessional retained by the contracting unit </w:t>
      </w:r>
      <w:r w:rsidRPr="00AE3FE2">
        <w:t>that the proposal is consistent with the evaluation factors. No proposal for a design-build contract m</w:t>
      </w:r>
      <w:r>
        <w:t>ay be accepted unless the contracting unit</w:t>
      </w:r>
      <w:r w:rsidRPr="00AE3FE2">
        <w:t xml:space="preserve"> determines that there was adequate competition for such contract.</w:t>
      </w:r>
    </w:p>
    <w:p w:rsidR="004E5175" w:rsidRDefault="004E5175" w:rsidP="004E5175">
      <w:r>
        <w:tab/>
        <w:t>b.</w:t>
      </w:r>
      <w:r>
        <w:tab/>
        <w:t>A contracting unit</w:t>
      </w:r>
      <w:r w:rsidRPr="00AE3FE2">
        <w:t xml:space="preserve"> must accept the proposal which it considers</w:t>
      </w:r>
      <w:r>
        <w:t xml:space="preserve"> most advantageous to the contracting unit after a thorough review </w:t>
      </w:r>
      <w:r w:rsidRPr="005A225D">
        <w:t>and scoring</w:t>
      </w:r>
      <w:r>
        <w:t xml:space="preserve"> of both parts of a design-bid proposal.</w:t>
      </w:r>
    </w:p>
    <w:p w:rsidR="004E5175" w:rsidRDefault="004E5175" w:rsidP="004E5175">
      <w:r>
        <w:tab/>
        <w:t>c.</w:t>
      </w:r>
      <w:r>
        <w:tab/>
      </w:r>
      <w:r w:rsidRPr="00AE3FE2">
        <w:t xml:space="preserve">Acceptance of a proposal shall be </w:t>
      </w:r>
      <w:r>
        <w:t xml:space="preserve">made </w:t>
      </w:r>
      <w:r w:rsidRPr="00AE3FE2">
        <w:t>by written notice to the design-builder which submitted the accepted proposal. At the same time notice of acc</w:t>
      </w:r>
      <w:r>
        <w:t>eptance is delivered, the contracting unit</w:t>
      </w:r>
      <w:r w:rsidRPr="00AE3FE2">
        <w:t xml:space="preserve"> </w:t>
      </w:r>
      <w:r w:rsidRPr="00AE3FE2">
        <w:lastRenderedPageBreak/>
        <w:t>shall also inform, in writing, the other design-builders that their proposals were not accepted.</w:t>
      </w:r>
    </w:p>
    <w:p w:rsidR="004E5175" w:rsidRDefault="004E5175" w:rsidP="004E5175">
      <w:r>
        <w:tab/>
        <w:t>d.  The contracting unit</w:t>
      </w:r>
      <w:r w:rsidRPr="00AE3FE2">
        <w:t xml:space="preserve"> shall have the right to reject any and all proposals, except for the purpose of evading the provisions and poli</w:t>
      </w:r>
      <w:r>
        <w:t>cies of this chapter. The contracting unit</w:t>
      </w:r>
      <w:r w:rsidRPr="00AE3FE2">
        <w:t xml:space="preserve"> </w:t>
      </w:r>
      <w:r>
        <w:t>shall</w:t>
      </w:r>
      <w:r w:rsidRPr="00AE3FE2">
        <w:t xml:space="preserve"> solic</w:t>
      </w:r>
      <w:r>
        <w:t xml:space="preserve">it new proposals using the same </w:t>
      </w:r>
      <w:r w:rsidRPr="00AE3FE2">
        <w:t>evaluation factors, budget constraints, or qualifications.</w:t>
      </w:r>
    </w:p>
    <w:p w:rsidR="004E5175" w:rsidRDefault="004E5175" w:rsidP="004E5175">
      <w:r>
        <w:tab/>
        <w:t xml:space="preserve">e.  </w:t>
      </w:r>
      <w:r w:rsidRPr="00AE3FE2">
        <w:t>Proposals may be withdrawn for any reason at any time prior to acceptance</w:t>
      </w:r>
      <w:r>
        <w:t>.</w:t>
      </w:r>
    </w:p>
    <w:p w:rsidR="004E5175" w:rsidRPr="00AE3FE2" w:rsidRDefault="004E5175" w:rsidP="004E5175">
      <w:r>
        <w:tab/>
        <w:t xml:space="preserve">f.  </w:t>
      </w:r>
      <w:r w:rsidRPr="00AE3FE2">
        <w:t>When a design-builder rece</w:t>
      </w:r>
      <w:r>
        <w:t xml:space="preserve">ives notification from a public body that the </w:t>
      </w:r>
      <w:r w:rsidRPr="00AE3FE2">
        <w:t>proposal</w:t>
      </w:r>
      <w:r>
        <w:t>,</w:t>
      </w:r>
      <w:r w:rsidRPr="00AE3FE2">
        <w:t xml:space="preserve"> </w:t>
      </w:r>
      <w:r>
        <w:t xml:space="preserve">which it has submitted, </w:t>
      </w:r>
      <w:r w:rsidRPr="00AE3FE2">
        <w:t>has not been accepted, th</w:t>
      </w:r>
      <w:r>
        <w:t xml:space="preserve">e design-builder may, within 30 </w:t>
      </w:r>
      <w:r w:rsidRPr="00AE3FE2">
        <w:t>days, reque</w:t>
      </w:r>
      <w:r>
        <w:t>st from the public body</w:t>
      </w:r>
      <w:r w:rsidRPr="00AE3FE2">
        <w:t xml:space="preserve"> a written explanation of the selection process. The design-builder shall submit this request in writing.</w:t>
      </w:r>
    </w:p>
    <w:p w:rsidR="004E5175" w:rsidRDefault="004E5175" w:rsidP="004E5175"/>
    <w:p w:rsidR="004E5175" w:rsidRDefault="004E5175" w:rsidP="004E5175">
      <w:r>
        <w:tab/>
        <w:t>9.</w:t>
      </w:r>
      <w:r>
        <w:tab/>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records relating to procurement transactions authorized under </w:t>
      </w:r>
      <w:r>
        <w:t>P.L.    , c.   (C.          ) (pending before the Legislature as this bill)</w:t>
      </w:r>
      <w:r w:rsidRPr="00AE3FE2">
        <w:t xml:space="preserve">.  </w:t>
      </w:r>
    </w:p>
    <w:p w:rsidR="004E5175" w:rsidRDefault="004E5175" w:rsidP="004E5175"/>
    <w:p w:rsidR="004E5175" w:rsidRDefault="004E5175" w:rsidP="004E5175">
      <w:r>
        <w:tab/>
        <w:t xml:space="preserve">10.  </w:t>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p>
    <w:p w:rsidR="004E5175" w:rsidRDefault="004E5175" w:rsidP="004E5175"/>
    <w:p w:rsidR="004E5175" w:rsidRPr="00E07AD6" w:rsidRDefault="004E5175" w:rsidP="004E5175">
      <w:r>
        <w:tab/>
        <w:t xml:space="preserve">11.   This act shall take effect immediately.  </w:t>
      </w:r>
    </w:p>
    <w:sectPr w:rsidR="004E5175" w:rsidRPr="00E07AD6" w:rsidSect="00CD4F11">
      <w:headerReference w:type="default" r:id="rId14"/>
      <w:footerReference w:type="default" r:id="rId15"/>
      <w:headerReference w:type="first" r:id="rId16"/>
      <w:footerReference w:type="first" r:id="rId17"/>
      <w:pgSz w:w="12240" w:h="20160" w:code="5"/>
      <w:pgMar w:top="1440" w:right="2520" w:bottom="1728"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D" w:rsidRDefault="002F59AD">
      <w:r>
        <w:separator/>
      </w:r>
    </w:p>
  </w:endnote>
  <w:endnote w:type="continuationSeparator" w:id="0">
    <w:p w:rsidR="002F59AD" w:rsidRDefault="002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4B8" w:rsidRDefault="00A633B1" w:rsidP="00A633B1">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F11" w:rsidRPr="00921C91" w:rsidRDefault="00CD4F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F11" w:rsidRPr="00921C91" w:rsidRDefault="00CD4F11">
    <w:pPr>
      <w:pStyle w:val="Footer"/>
      <w:rPr>
        <w:szCs w:val="18"/>
      </w:rPr>
    </w:pPr>
  </w:p>
  <w:p w:rsidR="00CD4F11" w:rsidRPr="00921C91" w:rsidRDefault="00CD4F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4F11" w:rsidRDefault="00CD4F11">
    <w:pPr>
      <w:pStyle w:val="Footer"/>
    </w:pPr>
    <w:r>
      <w:tab/>
      <w:t>Matter enclosed in superscript numerals has been adopted as follows:</w:t>
    </w:r>
  </w:p>
  <w:p w:rsidR="00CD4F11" w:rsidRDefault="00CD4F1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CD4F11" w:rsidRPr="00CD4F11" w:rsidRDefault="00CD4F1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D" w:rsidRDefault="002F59AD">
      <w:r>
        <w:separator/>
      </w:r>
    </w:p>
  </w:footnote>
  <w:footnote w:type="continuationSeparator" w:id="0">
    <w:p w:rsidR="002F59AD" w:rsidRDefault="002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4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963" w:rsidRDefault="002E0963" w:rsidP="002E0963">
    <w:pPr>
      <w:pStyle w:val="bpuHeadSpon"/>
    </w:pPr>
    <w:r w:rsidRPr="002E0963">
      <w:rPr>
        <w:rStyle w:val="bpuHeadSponChar"/>
      </w:rPr>
      <w:t>A1285</w:t>
    </w:r>
    <w:r>
      <w:t xml:space="preserve"> </w:t>
    </w:r>
    <w:r w:rsidR="00CD4F11">
      <w:t xml:space="preserve">[1R]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8C411F">
      <w:rPr>
        <w:noProof/>
      </w:rPr>
      <w:t>8</w:t>
    </w:r>
    <w:r>
      <w:fldChar w:fldCharType="end"/>
    </w:r>
  </w:p>
  <w:p w:rsidR="002E0963" w:rsidRPr="00AF575C" w:rsidRDefault="002E0963" w:rsidP="002E0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963" w:rsidRDefault="002E0963" w:rsidP="002E0963">
    <w:pPr>
      <w:pStyle w:val="bpuHeadSpon"/>
    </w:pPr>
    <w:r w:rsidRPr="002E0963">
      <w:rPr>
        <w:rStyle w:val="bpuHeadSponChar"/>
      </w:rPr>
      <w:t>A1285</w:t>
    </w:r>
    <w:r>
      <w:t xml:space="preserve"> </w:t>
    </w:r>
    <w:r w:rsidR="00CD4F11">
      <w:t xml:space="preserve">[1R]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8C411F">
      <w:rPr>
        <w:noProof/>
      </w:rPr>
      <w:t>2</w:t>
    </w:r>
    <w:r>
      <w:fldChar w:fldCharType="end"/>
    </w:r>
  </w:p>
  <w:p w:rsidR="002E0963" w:rsidRDefault="002E0963" w:rsidP="002E0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9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963"/>
    <w:rsid w:val="002E1440"/>
    <w:rsid w:val="002E2980"/>
    <w:rsid w:val="002F59AD"/>
    <w:rsid w:val="00304565"/>
    <w:rsid w:val="00307F11"/>
    <w:rsid w:val="0031075B"/>
    <w:rsid w:val="00317C73"/>
    <w:rsid w:val="003212E6"/>
    <w:rsid w:val="00333EF1"/>
    <w:rsid w:val="00340636"/>
    <w:rsid w:val="0034250B"/>
    <w:rsid w:val="00346CF5"/>
    <w:rsid w:val="00352F8B"/>
    <w:rsid w:val="00354D07"/>
    <w:rsid w:val="00364E79"/>
    <w:rsid w:val="0037458C"/>
    <w:rsid w:val="00381407"/>
    <w:rsid w:val="0038486B"/>
    <w:rsid w:val="003941E5"/>
    <w:rsid w:val="003A19B9"/>
    <w:rsid w:val="003A213D"/>
    <w:rsid w:val="003B7F50"/>
    <w:rsid w:val="003C32D1"/>
    <w:rsid w:val="003C6FBF"/>
    <w:rsid w:val="003D115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175"/>
    <w:rsid w:val="004F18AF"/>
    <w:rsid w:val="00501B0F"/>
    <w:rsid w:val="0050427A"/>
    <w:rsid w:val="00505402"/>
    <w:rsid w:val="0051355F"/>
    <w:rsid w:val="00515090"/>
    <w:rsid w:val="00520989"/>
    <w:rsid w:val="005274EC"/>
    <w:rsid w:val="005311D7"/>
    <w:rsid w:val="00541E58"/>
    <w:rsid w:val="00546499"/>
    <w:rsid w:val="005475CF"/>
    <w:rsid w:val="005501DB"/>
    <w:rsid w:val="00550854"/>
    <w:rsid w:val="005508CF"/>
    <w:rsid w:val="00550CD0"/>
    <w:rsid w:val="00560F96"/>
    <w:rsid w:val="0056109F"/>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50"/>
    <w:rsid w:val="006A3786"/>
    <w:rsid w:val="006B2FCF"/>
    <w:rsid w:val="006C3B76"/>
    <w:rsid w:val="006C4542"/>
    <w:rsid w:val="006D65B4"/>
    <w:rsid w:val="006E36B4"/>
    <w:rsid w:val="006E44B8"/>
    <w:rsid w:val="006E7C6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C09"/>
    <w:rsid w:val="00874609"/>
    <w:rsid w:val="0087660A"/>
    <w:rsid w:val="008823BC"/>
    <w:rsid w:val="008859B3"/>
    <w:rsid w:val="008B313B"/>
    <w:rsid w:val="008B4545"/>
    <w:rsid w:val="008B6E84"/>
    <w:rsid w:val="008C411F"/>
    <w:rsid w:val="008C6FA9"/>
    <w:rsid w:val="008D35C6"/>
    <w:rsid w:val="008D455C"/>
    <w:rsid w:val="008D62DB"/>
    <w:rsid w:val="008D7E0F"/>
    <w:rsid w:val="008E3B9B"/>
    <w:rsid w:val="008E4F67"/>
    <w:rsid w:val="008F6A7A"/>
    <w:rsid w:val="00902B2D"/>
    <w:rsid w:val="00915B98"/>
    <w:rsid w:val="00933C9C"/>
    <w:rsid w:val="0094377E"/>
    <w:rsid w:val="00944529"/>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183"/>
    <w:rsid w:val="00A01CC5"/>
    <w:rsid w:val="00A04BAB"/>
    <w:rsid w:val="00A072DB"/>
    <w:rsid w:val="00A12C37"/>
    <w:rsid w:val="00A15F7D"/>
    <w:rsid w:val="00A16418"/>
    <w:rsid w:val="00A224BB"/>
    <w:rsid w:val="00A22502"/>
    <w:rsid w:val="00A40A31"/>
    <w:rsid w:val="00A44FFA"/>
    <w:rsid w:val="00A469CC"/>
    <w:rsid w:val="00A47E17"/>
    <w:rsid w:val="00A55E7F"/>
    <w:rsid w:val="00A63229"/>
    <w:rsid w:val="00A633B1"/>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5C1"/>
    <w:rsid w:val="00C257EE"/>
    <w:rsid w:val="00C3401C"/>
    <w:rsid w:val="00C473B8"/>
    <w:rsid w:val="00C603F9"/>
    <w:rsid w:val="00C614C5"/>
    <w:rsid w:val="00C83317"/>
    <w:rsid w:val="00C937A1"/>
    <w:rsid w:val="00C93F56"/>
    <w:rsid w:val="00CB344E"/>
    <w:rsid w:val="00CD0B76"/>
    <w:rsid w:val="00CD4F1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0A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A76"/>
    <w:rsid w:val="00F42480"/>
    <w:rsid w:val="00F4623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DC6DB46"/>
  <w15:docId w15:val="{B8781CCE-724F-4996-81F7-FDE09D95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963"/>
  </w:style>
  <w:style w:type="paragraph" w:styleId="BalloonText">
    <w:name w:val="Balloon Text"/>
    <w:basedOn w:val="Normal"/>
    <w:link w:val="BalloonTextChar"/>
    <w:semiHidden/>
    <w:unhideWhenUsed/>
    <w:rsid w:val="00340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6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A393A-9298-4C82-BB77-1E7C2C597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2689</Words>
  <Characters>15596</Characters>
  <Application>Microsoft Office Word</Application>
  <DocSecurity>0</DocSecurity>
  <Lines>343</Lines>
  <Paragraphs>79</Paragraphs>
  <ScaleCrop>false</ScaleCrop>
  <HeadingPairs>
    <vt:vector size="2" baseType="variant">
      <vt:variant>
        <vt:lpstr>Title</vt:lpstr>
      </vt:variant>
      <vt:variant>
        <vt:i4>1</vt:i4>
      </vt:variant>
    </vt:vector>
  </HeadingPairs>
  <TitlesOfParts>
    <vt:vector size="1" baseType="lpstr">
      <vt:lpstr>A1285</vt:lpstr>
    </vt:vector>
  </TitlesOfParts>
  <Manager>R229</Manager>
  <Company>OFFICE of LEGISLATIVE SERVICES</Company>
  <LinksUpToDate>false</LinksUpToDate>
  <CharactersWithSpaces>18391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 1R</dc:title>
  <dc:creator>Assemblymen  GREENWALD and CHIARAVALLOTI</dc:creator>
  <cp:keywords>A1285|8|AU |273|0|273|!|0|</cp:keywords>
  <dc:description>PREFILED 2020_x000d_
TR &amp; AMENDED 8/24/20</dc:description>
  <cp:lastModifiedBy>Puleo, Roseanne</cp:lastModifiedBy>
  <cp:revision>2</cp:revision>
  <cp:lastPrinted>2020-10-28T15:29:00Z</cp:lastPrinted>
  <dcterms:created xsi:type="dcterms:W3CDTF">2020-10-28T15:30:00Z</dcterms:created>
  <dcterms:modified xsi:type="dcterms:W3CDTF">2020-10-28T15:30:00Z</dcterms:modified>
  <cp:category>ss.1-10 – C.52:34B-1 et seq. (“New chapter”); s.11 – Eff. date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