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60E9" w:rsidRDefault="004260E9" w:rsidP="004260E9">
      <w:pPr>
        <w:pStyle w:val="bpuBill"/>
      </w:pPr>
      <w:bookmarkStart w:id="0" w:name="bpuFrontPg"/>
      <w:bookmarkStart w:id="1" w:name="_GoBack"/>
      <w:bookmarkEnd w:id="0"/>
      <w:bookmarkEnd w:id="1"/>
      <w:r>
        <w:t xml:space="preserve">ASSEMBLY, No. 1399 </w:t>
      </w:r>
    </w:p>
    <w:p w:rsidR="004260E9" w:rsidRPr="004260E9" w:rsidRDefault="004260E9" w:rsidP="004260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25798" r:id="rId8"/>
        </w:object>
      </w:r>
    </w:p>
    <w:p w:rsidR="004260E9" w:rsidRDefault="004260E9" w:rsidP="004260E9">
      <w:pPr>
        <w:pStyle w:val="bpuState"/>
      </w:pPr>
      <w:r>
        <w:t>STATE OF NEW JERSEY</w:t>
      </w:r>
    </w:p>
    <w:p w:rsidR="004260E9" w:rsidRDefault="004260E9" w:rsidP="004260E9">
      <w:pPr>
        <w:pStyle w:val="bpuLegislature"/>
      </w:pPr>
      <w:r>
        <w:t>219th LEGISLATURE</w:t>
      </w:r>
    </w:p>
    <w:p w:rsidR="004260E9" w:rsidRDefault="004260E9" w:rsidP="004260E9">
      <w:pPr>
        <w:pStyle w:val="bpuWpGraphic"/>
      </w:pPr>
      <w:r>
        <w:object w:dxaOrig="8985" w:dyaOrig="255">
          <v:shape id="_x0000_i1026" type="#_x0000_t75" style="width:6in;height:12pt" o:ole="">
            <v:imagedata r:id="rId7" o:title=""/>
          </v:shape>
          <o:OLEObject Type="Embed" ProgID="WPWin6.1" ShapeID="_x0000_i1026" DrawAspect="Content" ObjectID="_1682425799" r:id="rId9"/>
        </w:object>
      </w:r>
      <w:r>
        <w:t xml:space="preserve">  </w:t>
      </w:r>
    </w:p>
    <w:p w:rsidR="004260E9" w:rsidRDefault="004260E9" w:rsidP="004260E9">
      <w:pPr>
        <w:pStyle w:val="bpuIntro"/>
      </w:pPr>
      <w:r>
        <w:t>PRE-FILED FOR INTRODUCTION IN THE 2020 SESSION</w:t>
      </w:r>
    </w:p>
    <w:p w:rsidR="004260E9" w:rsidRDefault="004260E9" w:rsidP="004260E9">
      <w:pPr>
        <w:pStyle w:val="bpuIntro"/>
      </w:pPr>
    </w:p>
    <w:p w:rsidR="004260E9" w:rsidRDefault="004260E9" w:rsidP="004260E9">
      <w:pPr>
        <w:pStyle w:val="bpuIntro"/>
        <w:sectPr w:rsidR="004260E9" w:rsidSect="00405EB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260E9" w:rsidRDefault="004260E9" w:rsidP="004260E9">
      <w:pPr>
        <w:pStyle w:val="bpuIntro"/>
      </w:pPr>
    </w:p>
    <w:p w:rsidR="004260E9" w:rsidRDefault="004260E9" w:rsidP="004260E9">
      <w:pPr>
        <w:pStyle w:val="bpuSponsor"/>
      </w:pPr>
      <w:r>
        <w:t>Sponsored by:</w:t>
      </w:r>
    </w:p>
    <w:p w:rsidR="004260E9" w:rsidRDefault="004260E9" w:rsidP="004260E9">
      <w:pPr>
        <w:pStyle w:val="bpuSponsor"/>
      </w:pPr>
      <w:r>
        <w:t>Assemblywoman  YVONNE LOPEZ</w:t>
      </w:r>
    </w:p>
    <w:p w:rsidR="004260E9" w:rsidRDefault="004260E9" w:rsidP="004260E9">
      <w:pPr>
        <w:pStyle w:val="bpuSponsor"/>
      </w:pPr>
      <w:r>
        <w:t>District 19 (Middlesex)</w:t>
      </w:r>
    </w:p>
    <w:p w:rsidR="004260E9" w:rsidRDefault="004260E9" w:rsidP="004260E9">
      <w:pPr>
        <w:pStyle w:val="bpuSponsor"/>
      </w:pPr>
      <w:r>
        <w:t>Assemblywoman  ANGELA V. MCKNIGHT</w:t>
      </w:r>
    </w:p>
    <w:p w:rsidR="004260E9" w:rsidRDefault="004260E9" w:rsidP="004260E9">
      <w:pPr>
        <w:pStyle w:val="bpuSponsor"/>
      </w:pPr>
      <w:r>
        <w:t>District 31 (Hudson)</w:t>
      </w:r>
    </w:p>
    <w:p w:rsidR="004260E9" w:rsidRDefault="004260E9" w:rsidP="004260E9">
      <w:pPr>
        <w:pStyle w:val="bpuSponsor"/>
      </w:pPr>
      <w:r>
        <w:t>Assemblyman  ANTHONY S. VERRELLI</w:t>
      </w:r>
    </w:p>
    <w:p w:rsidR="004260E9" w:rsidRDefault="004260E9" w:rsidP="004260E9">
      <w:pPr>
        <w:pStyle w:val="bpuSponsor"/>
      </w:pPr>
      <w:r>
        <w:t>District 15 (Hunterdon and Mercer)</w:t>
      </w:r>
    </w:p>
    <w:p w:rsidR="004260E9" w:rsidRDefault="004260E9" w:rsidP="004260E9">
      <w:pPr>
        <w:pStyle w:val="bpuSponsor"/>
      </w:pPr>
    </w:p>
    <w:p w:rsidR="004260E9" w:rsidRDefault="00405EBA" w:rsidP="00405EBA">
      <w:pPr>
        <w:pStyle w:val="bpuSponsor"/>
      </w:pPr>
      <w:r>
        <w:t>Co-Sponsored by:</w:t>
      </w:r>
    </w:p>
    <w:p w:rsidR="00405EBA" w:rsidRPr="00405EBA" w:rsidRDefault="00405EBA" w:rsidP="00405EBA">
      <w:pPr>
        <w:pStyle w:val="bpuSponsor"/>
      </w:pPr>
      <w:r w:rsidRPr="00405EBA">
        <w:t xml:space="preserve">Assemblymen Benson, Thomson, </w:t>
      </w:r>
      <w:proofErr w:type="spellStart"/>
      <w:r w:rsidRPr="00405EBA">
        <w:t>S.Kean</w:t>
      </w:r>
      <w:proofErr w:type="spellEnd"/>
      <w:r w:rsidRPr="00405EBA">
        <w:t xml:space="preserve">, Assemblywoman Murphy, Assemblymen Calabrese, </w:t>
      </w:r>
      <w:proofErr w:type="spellStart"/>
      <w:r w:rsidRPr="00405EBA">
        <w:t>Chiaravalloti</w:t>
      </w:r>
      <w:proofErr w:type="spellEnd"/>
      <w:r w:rsidRPr="00405EBA">
        <w:t xml:space="preserve">, Assemblywomen </w:t>
      </w:r>
      <w:proofErr w:type="spellStart"/>
      <w:r w:rsidRPr="00405EBA">
        <w:t>Jasey</w:t>
      </w:r>
      <w:proofErr w:type="spellEnd"/>
      <w:r w:rsidRPr="00405EBA">
        <w:t xml:space="preserve">, Jimenez, Assemblyman Caputo, Assemblywoman Reynolds-Jackson, Assemblymen </w:t>
      </w:r>
      <w:proofErr w:type="spellStart"/>
      <w:r w:rsidRPr="00405EBA">
        <w:t>Danielsen</w:t>
      </w:r>
      <w:proofErr w:type="spellEnd"/>
      <w:r w:rsidRPr="00405EBA">
        <w:t xml:space="preserve">, </w:t>
      </w:r>
      <w:proofErr w:type="spellStart"/>
      <w:r w:rsidRPr="00405EBA">
        <w:t>Zwicker</w:t>
      </w:r>
      <w:proofErr w:type="spellEnd"/>
      <w:r w:rsidRPr="00405EBA">
        <w:t xml:space="preserve">, Assemblywomen Timberlake, </w:t>
      </w:r>
      <w:proofErr w:type="spellStart"/>
      <w:r w:rsidRPr="00405EBA">
        <w:t>DiMaso</w:t>
      </w:r>
      <w:proofErr w:type="spellEnd"/>
      <w:r w:rsidRPr="00405EBA">
        <w:t xml:space="preserve">, Assemblyman </w:t>
      </w:r>
      <w:proofErr w:type="spellStart"/>
      <w:r w:rsidRPr="00405EBA">
        <w:t>Schaer</w:t>
      </w:r>
      <w:proofErr w:type="spellEnd"/>
      <w:r w:rsidRPr="00405EBA">
        <w:t xml:space="preserve">, Assemblywomen </w:t>
      </w:r>
      <w:proofErr w:type="spellStart"/>
      <w:r w:rsidRPr="00405EBA">
        <w:t>Quijano</w:t>
      </w:r>
      <w:proofErr w:type="spellEnd"/>
      <w:r w:rsidRPr="00405EBA">
        <w:t xml:space="preserve">, </w:t>
      </w:r>
      <w:proofErr w:type="spellStart"/>
      <w:r w:rsidRPr="00405EBA">
        <w:t>N.Munoz</w:t>
      </w:r>
      <w:proofErr w:type="spellEnd"/>
      <w:r w:rsidRPr="00405EBA">
        <w:t xml:space="preserve">, Assemblymen Mejia, </w:t>
      </w:r>
      <w:proofErr w:type="spellStart"/>
      <w:r w:rsidRPr="00405EBA">
        <w:t>Auth</w:t>
      </w:r>
      <w:proofErr w:type="spellEnd"/>
      <w:r w:rsidRPr="00405EBA">
        <w:t xml:space="preserve">, Assemblywomen </w:t>
      </w:r>
      <w:proofErr w:type="spellStart"/>
      <w:r w:rsidRPr="00405EBA">
        <w:t>Vainieri</w:t>
      </w:r>
      <w:proofErr w:type="spellEnd"/>
      <w:r w:rsidRPr="00405EBA">
        <w:t xml:space="preserve"> </w:t>
      </w:r>
      <w:proofErr w:type="spellStart"/>
      <w:r w:rsidRPr="00405EBA">
        <w:t>Huttle</w:t>
      </w:r>
      <w:proofErr w:type="spellEnd"/>
      <w:r w:rsidRPr="00405EBA">
        <w:t xml:space="preserve">, </w:t>
      </w:r>
      <w:proofErr w:type="spellStart"/>
      <w:r w:rsidRPr="00405EBA">
        <w:t>Mosquera</w:t>
      </w:r>
      <w:proofErr w:type="spellEnd"/>
      <w:r w:rsidRPr="00405EBA">
        <w:t>, Speight and Dunn</w:t>
      </w:r>
    </w:p>
    <w:p w:rsidR="00542012" w:rsidRPr="004260E9" w:rsidRDefault="00542012" w:rsidP="004260E9"/>
    <w:p w:rsidR="004260E9" w:rsidRDefault="004260E9" w:rsidP="004260E9">
      <w:pPr>
        <w:pStyle w:val="bpuSponsor"/>
      </w:pPr>
    </w:p>
    <w:p w:rsidR="004260E9" w:rsidRDefault="004260E9" w:rsidP="004260E9">
      <w:pPr>
        <w:pStyle w:val="bpuSponsor"/>
      </w:pPr>
    </w:p>
    <w:p w:rsidR="00405EBA" w:rsidRPr="00405EBA" w:rsidRDefault="00405EBA" w:rsidP="00405EBA"/>
    <w:p w:rsidR="004260E9" w:rsidRDefault="004260E9" w:rsidP="004260E9">
      <w:pPr>
        <w:pStyle w:val="bpuSponsor"/>
      </w:pPr>
      <w:r>
        <w:t>SYNOPSIS</w:t>
      </w:r>
    </w:p>
    <w:p w:rsidR="004260E9" w:rsidRDefault="004260E9" w:rsidP="004260E9">
      <w:pPr>
        <w:pStyle w:val="bpuNormText"/>
      </w:pPr>
      <w:r>
        <w:tab/>
        <w:t xml:space="preserve">Requires young children entering public schools or Head Start Programs for first time to have comprehensive eye examination completed. </w:t>
      </w:r>
    </w:p>
    <w:p w:rsidR="004260E9" w:rsidRDefault="004260E9" w:rsidP="004260E9">
      <w:pPr>
        <w:pStyle w:val="bpuNormText"/>
      </w:pPr>
    </w:p>
    <w:p w:rsidR="004260E9" w:rsidRDefault="004260E9" w:rsidP="004260E9">
      <w:pPr>
        <w:pStyle w:val="bpuSponsor"/>
      </w:pPr>
      <w:r>
        <w:t xml:space="preserve">CURRENT VERSION OF TEXT </w:t>
      </w:r>
    </w:p>
    <w:p w:rsidR="004260E9" w:rsidRDefault="004260E9" w:rsidP="004260E9">
      <w:pPr>
        <w:pStyle w:val="bpuNormText"/>
      </w:pPr>
      <w:r>
        <w:tab/>
        <w:t>Introduced Pending Technical Review by Legislative Counsel.</w:t>
      </w:r>
    </w:p>
    <w:p w:rsidR="004260E9" w:rsidRDefault="004260E9" w:rsidP="004260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260E9" w:rsidRDefault="004260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60E9" w:rsidSect="004260E9">
          <w:type w:val="continuous"/>
          <w:pgSz w:w="12240" w:h="20160" w:code="5"/>
          <w:pgMar w:top="2160" w:right="2275" w:bottom="1440" w:left="2275" w:header="72" w:footer="720" w:gutter="0"/>
          <w:pgNumType w:start="1"/>
          <w:cols w:space="720"/>
          <w:docGrid w:linePitch="360"/>
        </w:sectPr>
      </w:pPr>
    </w:p>
    <w:p w:rsidR="00931E0E" w:rsidRDefault="00931E0E" w:rsidP="00931E0E">
      <w:pPr>
        <w:pStyle w:val="HangingAnAct"/>
        <w:rPr>
          <w:rStyle w:val="HangingAnActChar"/>
        </w:rPr>
      </w:pPr>
      <w:r w:rsidRPr="00931E0E">
        <w:rPr>
          <w:rStyle w:val="BillHead"/>
        </w:rPr>
        <w:lastRenderedPageBreak/>
        <w:t>An Act</w:t>
      </w:r>
      <w:r w:rsidRPr="006B7FA7">
        <w:rPr>
          <w:rStyle w:val="HangingAnActChar"/>
        </w:rPr>
        <w:t xml:space="preserve"> </w:t>
      </w:r>
      <w:r>
        <w:rPr>
          <w:rStyle w:val="HangingAnActChar"/>
        </w:rPr>
        <w:t xml:space="preserve">concerning the vision of certain children and supplementing chapter 40 of Title 18A of the New Jersey Statutes.  </w:t>
      </w:r>
    </w:p>
    <w:p w:rsidR="00931E0E" w:rsidRPr="00D71D68" w:rsidRDefault="00931E0E" w:rsidP="00931E0E">
      <w:pPr>
        <w:pStyle w:val="HangingAnAct"/>
      </w:pPr>
    </w:p>
    <w:p w:rsidR="00931E0E" w:rsidRPr="00AA7880" w:rsidRDefault="00931E0E" w:rsidP="00931E0E">
      <w:r>
        <w:tab/>
      </w:r>
      <w:r>
        <w:rPr>
          <w:rStyle w:val="BillHeading2"/>
        </w:rPr>
        <w:t xml:space="preserve">Be It Enacted </w:t>
      </w:r>
      <w:r>
        <w:rPr>
          <w:rStyle w:val="BillLanguage"/>
        </w:rPr>
        <w:t>by the Senate and General Assembly of the State of New Jersey:</w:t>
      </w:r>
    </w:p>
    <w:p w:rsidR="00931E0E" w:rsidRDefault="00931E0E" w:rsidP="00931E0E"/>
    <w:p w:rsidR="00931E0E" w:rsidRDefault="00931E0E" w:rsidP="00931E0E">
      <w:pPr>
        <w:tabs>
          <w:tab w:val="clear" w:pos="1440"/>
          <w:tab w:val="left" w:pos="1080"/>
        </w:tabs>
      </w:pPr>
      <w:r>
        <w:tab/>
        <w:t>1.</w:t>
      </w:r>
      <w:r>
        <w:tab/>
        <w:t>a.</w:t>
      </w:r>
      <w:r>
        <w:tab/>
        <w:t xml:space="preserve">The State Board of Education shall require a child age 6 and under who is entering a public preschool, public school, or a Head Start Program for the first time to have a comprehensive eye examination completed by an optometrist or ophthalmologist by January 1 of the child’s initial year of enrollment in the school or program. </w:t>
      </w:r>
    </w:p>
    <w:p w:rsidR="00931E0E" w:rsidRPr="00701F9F" w:rsidRDefault="00931E0E" w:rsidP="00931E0E">
      <w:pPr>
        <w:rPr>
          <w:rFonts w:ascii="Albertus Extra Bold" w:hAnsi="Albertus Extra Bold"/>
          <w:b/>
          <w:u w:val="single"/>
          <w:vertAlign w:val="superscript"/>
        </w:rPr>
      </w:pPr>
      <w:r>
        <w:tab/>
        <w:t>b.</w:t>
      </w:r>
      <w:r>
        <w:tab/>
      </w:r>
      <w:r w:rsidRPr="009A5C96">
        <w:t>The Department of Health shall maintain a list of resources from which a parent or guardian may obtain a free or reduced price comprehensive eye examination for a child.  The list shall be posted on the department’s Internet website and updated annually.  The department shall also provide the list annually to each public preschool, public school, and Head Start Program, and the list shall be made available by the public preschool, public school, and Head Start Program to the parents or guardians of all enrolled children.</w:t>
      </w:r>
    </w:p>
    <w:p w:rsidR="00931E0E" w:rsidRDefault="00931E0E" w:rsidP="00931E0E">
      <w:r>
        <w:tab/>
      </w:r>
      <w:r w:rsidRPr="009A5C96">
        <w:t>c.</w:t>
      </w:r>
      <w:r>
        <w:tab/>
        <w:t>A principal, director, or other person in charge of a public preschool, public school, or Head Start Program shall collect from the child’s parent or guardian evidence of the child’s comprehensive eye examination, as provided by regulation of the State board.</w:t>
      </w:r>
    </w:p>
    <w:p w:rsidR="00931E0E" w:rsidRPr="009A5C96" w:rsidRDefault="00931E0E" w:rsidP="00931E0E">
      <w:pPr>
        <w:rPr>
          <w:rFonts w:ascii="Albertus Extra Bold" w:hAnsi="Albertus Extra Bold"/>
          <w:b/>
          <w:vertAlign w:val="superscript"/>
        </w:rPr>
      </w:pPr>
      <w:r>
        <w:tab/>
      </w:r>
      <w:r w:rsidRPr="009A5C96">
        <w:t>In the case of a parent or guardian who has not provided evidence of the child’s comprehensive eye exam, the principal, director, or other person in charge of a public preschool, public school, or Head Start Program shall notify the parents or guardians every three months following the child’s initial enrollment of the requirement regarding the comprehensive eye examination.</w:t>
      </w:r>
    </w:p>
    <w:p w:rsidR="00931E0E" w:rsidRDefault="00931E0E" w:rsidP="00931E0E">
      <w:r>
        <w:tab/>
      </w:r>
      <w:r w:rsidRPr="009A5C96">
        <w:t>d.</w:t>
      </w:r>
      <w:r>
        <w:rPr>
          <w:rFonts w:ascii="Albertus Extra Bold" w:hAnsi="Albertus Extra Bold"/>
          <w:b/>
          <w:vertAlign w:val="superscript"/>
        </w:rPr>
        <w:t xml:space="preserve">  </w:t>
      </w:r>
      <w:r w:rsidRPr="00CF398E">
        <w:t>A comprehensive eye examination that was performed 1no more than one year1 prior to a child’s initial enrollment in a public preschool, public school, or Head Start Program shall be deemed to satisfy the requirement of this section.</w:t>
      </w:r>
    </w:p>
    <w:p w:rsidR="00931E0E" w:rsidRDefault="00931E0E" w:rsidP="00931E0E">
      <w:r>
        <w:tab/>
      </w:r>
      <w:r w:rsidRPr="009A5C96">
        <w:t>e.</w:t>
      </w:r>
      <w:r>
        <w:t xml:space="preserve"> The State Board of Education shall adopt rules and regulations pursuant to the "Administrative Procedure Act," P.L.1968, c.410 (C.52:14B-1 et seq.), to implement the provisions of this section.</w:t>
      </w:r>
    </w:p>
    <w:p w:rsidR="00931E0E" w:rsidRPr="009A5C96" w:rsidRDefault="00931E0E" w:rsidP="00931E0E">
      <w:pPr>
        <w:tabs>
          <w:tab w:val="clear" w:pos="1440"/>
          <w:tab w:val="left" w:pos="1260"/>
        </w:tabs>
      </w:pPr>
      <w:r>
        <w:tab/>
        <w:t xml:space="preserve"> </w:t>
      </w:r>
      <w:r w:rsidRPr="009A5C96">
        <w:t>f.</w:t>
      </w:r>
      <w:r w:rsidRPr="009A5C96">
        <w:tab/>
        <w:t xml:space="preserve">There is hereby created a special fund in the Department of Education, which shall be entitled the "Comprehensive Eye Examination Fund." The fund shall be maintained in a separate account and administered by the commissioner to carry out the provisions of this section. The fund shall consist of (1) any monies appropriated by the State for the purposes of the fund; (2) any monies donated for the purposes of the fund; and (3) all interest and investment earnings received on monies in the fund.  The fund shall be used to cover the costs of comprehensive eye examinations conducted pursuant to this section, for any uninsured children and children without applicable healthcare coverage. </w:t>
      </w:r>
    </w:p>
    <w:p w:rsidR="00931E0E" w:rsidRDefault="00931E0E" w:rsidP="00931E0E">
      <w:r>
        <w:tab/>
      </w:r>
      <w:r w:rsidRPr="009A5C96">
        <w:t>g.</w:t>
      </w:r>
      <w:r>
        <w:tab/>
        <w:t>A</w:t>
      </w:r>
      <w:r w:rsidRPr="00A878CF">
        <w:t xml:space="preserve">s used in this </w:t>
      </w:r>
      <w:r>
        <w:t>section</w:t>
      </w:r>
      <w:r w:rsidRPr="00A878CF">
        <w:t xml:space="preserve">, "comprehensive eye examination" means an evaluation that includes a child's history, external and </w:t>
      </w:r>
      <w:proofErr w:type="spellStart"/>
      <w:r w:rsidRPr="00A878CF">
        <w:t>ophthalmoscopic</w:t>
      </w:r>
      <w:proofErr w:type="spellEnd"/>
      <w:r w:rsidRPr="00A878CF">
        <w:t xml:space="preserve"> examination, visual acuity, ocular alignment and motility, refraction, and assessment of accommodation and binocular vision, performed by an optometrist or ophthalmologist.</w:t>
      </w:r>
    </w:p>
    <w:p w:rsidR="00931E0E" w:rsidRDefault="00931E0E" w:rsidP="00931E0E"/>
    <w:p w:rsidR="00931E0E" w:rsidRPr="00AA7880" w:rsidRDefault="00931E0E" w:rsidP="00931E0E">
      <w:r>
        <w:tab/>
        <w:t>2.</w:t>
      </w:r>
      <w:r>
        <w:tab/>
        <w:t>This act shall take effect in the first full school year following the date of enactment.</w:t>
      </w:r>
    </w:p>
    <w:p w:rsidR="00931E0E" w:rsidRDefault="00931E0E" w:rsidP="00931E0E"/>
    <w:p w:rsidR="001D1B29" w:rsidRDefault="001D1B29" w:rsidP="00931E0E"/>
    <w:p w:rsidR="001D1B29" w:rsidRDefault="001D1B29" w:rsidP="001D1B29">
      <w:pPr>
        <w:jc w:val="center"/>
      </w:pPr>
      <w:r>
        <w:t>STATEMENT</w:t>
      </w:r>
    </w:p>
    <w:p w:rsidR="001D1B29" w:rsidRDefault="001D1B29" w:rsidP="001D1B29">
      <w:pPr>
        <w:jc w:val="center"/>
      </w:pPr>
    </w:p>
    <w:p w:rsidR="001D1B29" w:rsidRDefault="001D1B29" w:rsidP="001D1B29">
      <w:r>
        <w:tab/>
        <w:t xml:space="preserve">This bill directs the State Board of Education to require each child age 6 and under who is entering a public preschool, public school, or a Head Start Program for the first time to have a comprehensive eye examination completed by an optometrist or ophthalmologist by January 1 of the child’s initial year of enrollment in the school or program.  The Department of Health will maintain a list of resources from which a parent or guardian may obtain a free or reduced price comprehensive eye examination.  The list will be posted on the Department of Health’s website and will be provided to each public preschool, public school, and Head Start Program.  </w:t>
      </w:r>
    </w:p>
    <w:p w:rsidR="001D1B29" w:rsidRDefault="001D1B29" w:rsidP="001D1B29">
      <w:r>
        <w:tab/>
        <w:t>A principal, director, or other person in charge of a public preschool, public school, or Head Start Program must collect from the child’s parent or guardian evidence of the child’s comprehensive eye examination, as provided by regulation of the State board. A comprehensive eye examination that was performed no more than one year prior to a child’s initial enrollment in a public preschool, public school, or Head Start Program will satisfy the requirements under the bill.</w:t>
      </w:r>
    </w:p>
    <w:sectPr w:rsidR="001D1B29" w:rsidSect="004260E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601" w:rsidRDefault="00C65601">
      <w:r>
        <w:separator/>
      </w:r>
    </w:p>
  </w:endnote>
  <w:endnote w:type="continuationSeparator" w:id="0">
    <w:p w:rsidR="00C65601" w:rsidRDefault="00C65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012" w:rsidRDefault="00405EBA" w:rsidP="00405EBA">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601" w:rsidRDefault="00C65601">
      <w:r>
        <w:separator/>
      </w:r>
    </w:p>
  </w:footnote>
  <w:footnote w:type="continuationSeparator" w:id="0">
    <w:p w:rsidR="00C65601" w:rsidRDefault="00C65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54B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60E9" w:rsidRDefault="004260E9" w:rsidP="004260E9">
    <w:pPr>
      <w:pStyle w:val="bpuHeadSpon"/>
    </w:pPr>
    <w:r w:rsidRPr="004260E9">
      <w:rPr>
        <w:rStyle w:val="bpuHeadSponChar"/>
      </w:rPr>
      <w:t>A1399</w:t>
    </w:r>
    <w:r>
      <w:t xml:space="preserve"> LOPEZ, MCKNIGHT</w:t>
    </w:r>
  </w:p>
  <w:p w:rsidR="004260E9" w:rsidRDefault="004260E9" w:rsidP="004260E9">
    <w:pPr>
      <w:pStyle w:val="bpuHeadSpon"/>
    </w:pPr>
    <w:r>
      <w:fldChar w:fldCharType="begin"/>
    </w:r>
    <w:r>
      <w:instrText xml:space="preserve"> PAGE  \* MERGEFORMAT </w:instrText>
    </w:r>
    <w:r>
      <w:fldChar w:fldCharType="separate"/>
    </w:r>
    <w:r w:rsidR="00354B57">
      <w:rPr>
        <w:noProof/>
      </w:rPr>
      <w:t>3</w:t>
    </w:r>
    <w:r>
      <w:fldChar w:fldCharType="end"/>
    </w:r>
  </w:p>
  <w:p w:rsidR="004260E9" w:rsidRPr="00AF575C" w:rsidRDefault="004260E9" w:rsidP="004260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60E9" w:rsidRDefault="004260E9" w:rsidP="004260E9">
    <w:pPr>
      <w:pStyle w:val="bpuHeadSpon"/>
    </w:pPr>
    <w:r w:rsidRPr="004260E9">
      <w:rPr>
        <w:rStyle w:val="bpuHeadSponChar"/>
      </w:rPr>
      <w:t>A1399</w:t>
    </w:r>
    <w:r>
      <w:t xml:space="preserve"> LOPEZ, MCKNIGHT</w:t>
    </w:r>
  </w:p>
  <w:p w:rsidR="004260E9" w:rsidRDefault="004260E9" w:rsidP="004260E9">
    <w:pPr>
      <w:pStyle w:val="bpuHeadSpon"/>
    </w:pPr>
    <w:r>
      <w:fldChar w:fldCharType="begin"/>
    </w:r>
    <w:r>
      <w:instrText xml:space="preserve"> PAGE  \* MERGEFORMAT </w:instrText>
    </w:r>
    <w:r>
      <w:fldChar w:fldCharType="separate"/>
    </w:r>
    <w:r w:rsidR="00354B57">
      <w:rPr>
        <w:noProof/>
      </w:rPr>
      <w:t>2</w:t>
    </w:r>
    <w:r>
      <w:fldChar w:fldCharType="end"/>
    </w:r>
  </w:p>
  <w:p w:rsidR="004260E9" w:rsidRDefault="004260E9" w:rsidP="004260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60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1B29"/>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33C5"/>
    <w:rsid w:val="002F76E0"/>
    <w:rsid w:val="00304565"/>
    <w:rsid w:val="00307F11"/>
    <w:rsid w:val="0031075B"/>
    <w:rsid w:val="00317C73"/>
    <w:rsid w:val="003212E6"/>
    <w:rsid w:val="00333EF1"/>
    <w:rsid w:val="00346CF5"/>
    <w:rsid w:val="00352F8B"/>
    <w:rsid w:val="00354B57"/>
    <w:rsid w:val="00354D07"/>
    <w:rsid w:val="0037458C"/>
    <w:rsid w:val="00381407"/>
    <w:rsid w:val="0038486B"/>
    <w:rsid w:val="00391818"/>
    <w:rsid w:val="003941E5"/>
    <w:rsid w:val="003A19B9"/>
    <w:rsid w:val="003A213D"/>
    <w:rsid w:val="003B7F50"/>
    <w:rsid w:val="003C32D1"/>
    <w:rsid w:val="003C6FBF"/>
    <w:rsid w:val="003D2B0D"/>
    <w:rsid w:val="003D6256"/>
    <w:rsid w:val="003E3338"/>
    <w:rsid w:val="003E7B4E"/>
    <w:rsid w:val="003F145F"/>
    <w:rsid w:val="003F4A22"/>
    <w:rsid w:val="004040F9"/>
    <w:rsid w:val="00405EBA"/>
    <w:rsid w:val="00406A85"/>
    <w:rsid w:val="0041453D"/>
    <w:rsid w:val="004260E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2012"/>
    <w:rsid w:val="00546499"/>
    <w:rsid w:val="005475CF"/>
    <w:rsid w:val="005501DB"/>
    <w:rsid w:val="00550854"/>
    <w:rsid w:val="005508CF"/>
    <w:rsid w:val="00560F96"/>
    <w:rsid w:val="0056610D"/>
    <w:rsid w:val="0056642C"/>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7E10"/>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1E0E"/>
    <w:rsid w:val="00933C9C"/>
    <w:rsid w:val="0094377E"/>
    <w:rsid w:val="009467BF"/>
    <w:rsid w:val="0094723D"/>
    <w:rsid w:val="009564BC"/>
    <w:rsid w:val="0095650E"/>
    <w:rsid w:val="00966445"/>
    <w:rsid w:val="00967FED"/>
    <w:rsid w:val="00980A56"/>
    <w:rsid w:val="00986E4C"/>
    <w:rsid w:val="009937ED"/>
    <w:rsid w:val="00993BCE"/>
    <w:rsid w:val="009A28BB"/>
    <w:rsid w:val="009A5C96"/>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5601"/>
    <w:rsid w:val="00C83317"/>
    <w:rsid w:val="00C937A1"/>
    <w:rsid w:val="00C93F56"/>
    <w:rsid w:val="00C96D57"/>
    <w:rsid w:val="00CB098D"/>
    <w:rsid w:val="00CB0A26"/>
    <w:rsid w:val="00CB344E"/>
    <w:rsid w:val="00CF2757"/>
    <w:rsid w:val="00CF2761"/>
    <w:rsid w:val="00CF506C"/>
    <w:rsid w:val="00CF7045"/>
    <w:rsid w:val="00D0612B"/>
    <w:rsid w:val="00D06296"/>
    <w:rsid w:val="00D0784A"/>
    <w:rsid w:val="00D1283E"/>
    <w:rsid w:val="00D158BB"/>
    <w:rsid w:val="00D169D8"/>
    <w:rsid w:val="00D209A5"/>
    <w:rsid w:val="00D23780"/>
    <w:rsid w:val="00D276D1"/>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52F1"/>
    <w:rsid w:val="00DA6AA9"/>
    <w:rsid w:val="00DB5B8E"/>
    <w:rsid w:val="00DC19C7"/>
    <w:rsid w:val="00DC283E"/>
    <w:rsid w:val="00DC75BA"/>
    <w:rsid w:val="00DD1E46"/>
    <w:rsid w:val="00DE697F"/>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B09"/>
    <w:rsid w:val="00EB0958"/>
    <w:rsid w:val="00EB167F"/>
    <w:rsid w:val="00EB28D8"/>
    <w:rsid w:val="00EB4347"/>
    <w:rsid w:val="00EB6042"/>
    <w:rsid w:val="00EB71AE"/>
    <w:rsid w:val="00EC050B"/>
    <w:rsid w:val="00EE428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BC6A50"/>
  <w15:docId w15:val="{57297D86-D97A-40AD-B781-5D913919E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260E9"/>
  </w:style>
  <w:style w:type="paragraph" w:styleId="BalloonText">
    <w:name w:val="Balloon Text"/>
    <w:basedOn w:val="Normal"/>
    <w:link w:val="BalloonTextChar"/>
    <w:semiHidden/>
    <w:unhideWhenUsed/>
    <w:rsid w:val="00EE42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428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9F350-3E8E-4D9D-8F99-0E287DFEE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819</Words>
  <Characters>4467</Characters>
  <Application>Microsoft Office Word</Application>
  <DocSecurity>0</DocSecurity>
  <Lines>117</Lines>
  <Paragraphs>31</Paragraphs>
  <ScaleCrop>false</ScaleCrop>
  <HeadingPairs>
    <vt:vector size="2" baseType="variant">
      <vt:variant>
        <vt:lpstr>Title</vt:lpstr>
      </vt:variant>
      <vt:variant>
        <vt:i4>1</vt:i4>
      </vt:variant>
    </vt:vector>
  </HeadingPairs>
  <TitlesOfParts>
    <vt:vector size="1" baseType="lpstr">
      <vt:lpstr>A1399</vt:lpstr>
    </vt:vector>
  </TitlesOfParts>
  <Manager>R229</Manager>
  <Company>OFFICE of LEGISLATIVE SERVICES</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A1399</dc:title>
  <dc:creator>Assemblywoman  LOPEZ, Assemblywoman  MCKNIGHT</dc:creator>
  <cp:keywords>A1399|3|LG |129|0|0|!|0|</cp:keywords>
  <dc:description>PREFILED 2020</dc:description>
  <cp:lastModifiedBy>Todaro, Vivian</cp:lastModifiedBy>
  <cp:revision>2</cp:revision>
  <cp:lastPrinted>2021-05-13T19:43:00Z</cp:lastPrinted>
  <dcterms:created xsi:type="dcterms:W3CDTF">2021-05-13T19:43:00Z</dcterms:created>
  <dcterms:modified xsi:type="dcterms:W3CDTF">2021-05-13T19:43:00Z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