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869" w:rsidRDefault="00353869" w:rsidP="00353869">
      <w:pPr>
        <w:pStyle w:val="bpuBill"/>
      </w:pPr>
      <w:bookmarkStart w:id="0" w:name="bpuFrontPg"/>
      <w:bookmarkStart w:id="1" w:name="_GoBack"/>
      <w:bookmarkEnd w:id="0"/>
      <w:bookmarkEnd w:id="1"/>
      <w:r>
        <w:t xml:space="preserve">ASSEMBLY, No. 1494 </w:t>
      </w:r>
    </w:p>
    <w:p w:rsidR="00353869" w:rsidRPr="00353869" w:rsidRDefault="00353869" w:rsidP="003538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476" r:id="rId8"/>
        </w:object>
      </w:r>
    </w:p>
    <w:p w:rsidR="00353869" w:rsidRDefault="00353869" w:rsidP="00353869">
      <w:pPr>
        <w:pStyle w:val="bpuState"/>
      </w:pPr>
      <w:r>
        <w:t>STATE OF NEW JERSEY</w:t>
      </w:r>
    </w:p>
    <w:p w:rsidR="00353869" w:rsidRDefault="00353869" w:rsidP="00353869">
      <w:pPr>
        <w:pStyle w:val="bpuLegislature"/>
      </w:pPr>
      <w:r>
        <w:t>219th LEGISLATURE</w:t>
      </w:r>
    </w:p>
    <w:p w:rsidR="00353869" w:rsidRDefault="00353869" w:rsidP="00353869">
      <w:pPr>
        <w:pStyle w:val="bpuWpGraphic"/>
      </w:pPr>
      <w:r>
        <w:object w:dxaOrig="8985" w:dyaOrig="255">
          <v:shape id="_x0000_i1026" type="#_x0000_t75" style="width:6in;height:12pt" o:ole="">
            <v:imagedata r:id="rId7" o:title=""/>
          </v:shape>
          <o:OLEObject Type="Embed" ProgID="WPWin6.1" ShapeID="_x0000_i1026" DrawAspect="Content" ObjectID="_1640089477" r:id="rId9"/>
        </w:object>
      </w:r>
      <w:r>
        <w:t xml:space="preserve">  </w:t>
      </w:r>
    </w:p>
    <w:p w:rsidR="00353869" w:rsidRDefault="00353869" w:rsidP="00353869">
      <w:pPr>
        <w:pStyle w:val="bpuIntro"/>
      </w:pPr>
      <w:r>
        <w:t>PRE-FILED FOR INTRODUCTION IN THE 2020 SESSION</w:t>
      </w:r>
    </w:p>
    <w:p w:rsidR="00353869" w:rsidRDefault="00353869" w:rsidP="00353869">
      <w:pPr>
        <w:pStyle w:val="bpuIntro"/>
      </w:pPr>
    </w:p>
    <w:p w:rsidR="00353869" w:rsidRDefault="00353869" w:rsidP="00353869">
      <w:pPr>
        <w:pStyle w:val="bpuIntro"/>
        <w:sectPr w:rsidR="00353869" w:rsidSect="00353869">
          <w:headerReference w:type="even" r:id="rId10"/>
          <w:headerReference w:type="default" r:id="rId11"/>
          <w:pgSz w:w="12240" w:h="20160" w:code="5"/>
          <w:pgMar w:top="2160" w:right="1440" w:bottom="1440" w:left="1440" w:header="720" w:footer="720" w:gutter="0"/>
          <w:pgNumType w:start="1"/>
          <w:cols w:space="720"/>
          <w:docGrid w:linePitch="360"/>
        </w:sectPr>
      </w:pPr>
    </w:p>
    <w:p w:rsidR="00353869" w:rsidRDefault="00353869" w:rsidP="00353869">
      <w:pPr>
        <w:pStyle w:val="bpuIntro"/>
      </w:pPr>
    </w:p>
    <w:p w:rsidR="00353869" w:rsidRDefault="00353869" w:rsidP="00353869">
      <w:pPr>
        <w:pStyle w:val="bpuSponsor"/>
      </w:pPr>
      <w:r>
        <w:t>Sponsored by:</w:t>
      </w:r>
    </w:p>
    <w:p w:rsidR="00353869" w:rsidRDefault="00353869" w:rsidP="00353869">
      <w:pPr>
        <w:pStyle w:val="bpuSponsor"/>
      </w:pPr>
      <w:r>
        <w:t>Assemblyman  KEVIN J. ROONEY</w:t>
      </w:r>
    </w:p>
    <w:p w:rsidR="00353869" w:rsidRDefault="00353869" w:rsidP="00353869">
      <w:pPr>
        <w:pStyle w:val="bpuSponsor"/>
      </w:pPr>
      <w:r>
        <w:t>District 40 (Bergen, Essex, Morris and Passaic)</w:t>
      </w:r>
    </w:p>
    <w:p w:rsidR="00353869" w:rsidRDefault="00353869" w:rsidP="00353869">
      <w:pPr>
        <w:pStyle w:val="bpuSponsor"/>
      </w:pPr>
    </w:p>
    <w:p w:rsidR="00353869" w:rsidRDefault="00353869" w:rsidP="00353869">
      <w:pPr>
        <w:pStyle w:val="bpuSponsor"/>
      </w:pPr>
      <w:r>
        <w:t>Co-Sponsored by:</w:t>
      </w:r>
    </w:p>
    <w:p w:rsidR="00353869" w:rsidRPr="00353869" w:rsidRDefault="00353869" w:rsidP="00353869">
      <w:pPr>
        <w:pStyle w:val="bpuSponsor"/>
      </w:pPr>
      <w:r w:rsidRPr="00353869">
        <w:t xml:space="preserve">Assemblymen </w:t>
      </w:r>
      <w:proofErr w:type="spellStart"/>
      <w:r w:rsidRPr="00353869">
        <w:t>McGuckin</w:t>
      </w:r>
      <w:proofErr w:type="spellEnd"/>
      <w:r w:rsidRPr="00353869">
        <w:t xml:space="preserve">, </w:t>
      </w:r>
      <w:proofErr w:type="spellStart"/>
      <w:r w:rsidRPr="00353869">
        <w:t>S.Kean</w:t>
      </w:r>
      <w:proofErr w:type="spellEnd"/>
      <w:r w:rsidRPr="00353869">
        <w:t xml:space="preserve">, Assemblywoman </w:t>
      </w:r>
      <w:proofErr w:type="spellStart"/>
      <w:r w:rsidRPr="00353869">
        <w:t>N.Munoz</w:t>
      </w:r>
      <w:proofErr w:type="spellEnd"/>
      <w:r w:rsidRPr="00353869">
        <w:t xml:space="preserve">, Assemblymen Coughlin, Caputo, </w:t>
      </w:r>
      <w:proofErr w:type="spellStart"/>
      <w:r w:rsidRPr="00353869">
        <w:t>Giblin</w:t>
      </w:r>
      <w:proofErr w:type="spellEnd"/>
      <w:r w:rsidRPr="00353869">
        <w:t xml:space="preserve"> and </w:t>
      </w:r>
      <w:proofErr w:type="spellStart"/>
      <w:r w:rsidRPr="00353869">
        <w:t>Wimberly</w:t>
      </w:r>
      <w:proofErr w:type="spellEnd"/>
    </w:p>
    <w:p w:rsidR="00353869" w:rsidRDefault="00353869" w:rsidP="00353869">
      <w:pPr>
        <w:pStyle w:val="bpuSponsor"/>
      </w:pPr>
    </w:p>
    <w:p w:rsidR="00353869" w:rsidRDefault="00353869" w:rsidP="00353869"/>
    <w:p w:rsidR="00353869" w:rsidRPr="00353869" w:rsidRDefault="00353869" w:rsidP="00353869"/>
    <w:p w:rsidR="00353869" w:rsidRDefault="00353869" w:rsidP="00353869">
      <w:pPr>
        <w:pStyle w:val="bpuSponsor"/>
      </w:pPr>
    </w:p>
    <w:p w:rsidR="00353869" w:rsidRDefault="00353869" w:rsidP="00353869">
      <w:pPr>
        <w:pStyle w:val="bpuSponsor"/>
      </w:pPr>
      <w:r>
        <w:t>SYNOPSIS</w:t>
      </w:r>
    </w:p>
    <w:p w:rsidR="00353869" w:rsidRDefault="00353869" w:rsidP="00353869">
      <w:pPr>
        <w:pStyle w:val="bpuNormText"/>
      </w:pPr>
      <w:r>
        <w:tab/>
        <w:t xml:space="preserve">Requires public utility requesting rate increase to hold public hearings in every county. </w:t>
      </w:r>
    </w:p>
    <w:p w:rsidR="00353869" w:rsidRDefault="00353869" w:rsidP="00353869">
      <w:pPr>
        <w:pStyle w:val="bpuNormText"/>
      </w:pPr>
    </w:p>
    <w:p w:rsidR="00353869" w:rsidRDefault="00353869" w:rsidP="00353869">
      <w:pPr>
        <w:pStyle w:val="bpuSponsor"/>
      </w:pPr>
      <w:r>
        <w:t xml:space="preserve">CURRENT VERSION OF TEXT </w:t>
      </w:r>
    </w:p>
    <w:p w:rsidR="00353869" w:rsidRDefault="00353869" w:rsidP="00353869">
      <w:pPr>
        <w:pStyle w:val="bpuNormText"/>
      </w:pPr>
      <w:r>
        <w:tab/>
        <w:t>Introduced Pending Technical Review by Legislative Counsel.</w:t>
      </w:r>
    </w:p>
    <w:p w:rsidR="00353869" w:rsidRDefault="00353869" w:rsidP="003538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3869" w:rsidRDefault="003538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3869" w:rsidSect="00353869">
          <w:type w:val="continuous"/>
          <w:pgSz w:w="12240" w:h="20160" w:code="5"/>
          <w:pgMar w:top="2160" w:right="2275" w:bottom="1440" w:left="2275" w:header="72" w:footer="720" w:gutter="0"/>
          <w:pgNumType w:start="1"/>
          <w:cols w:space="720"/>
          <w:docGrid w:linePitch="360"/>
        </w:sectPr>
      </w:pPr>
    </w:p>
    <w:p w:rsidR="000C5590" w:rsidRPr="00677316" w:rsidRDefault="000C5590" w:rsidP="000C5590">
      <w:pPr>
        <w:pStyle w:val="HangingAnAct"/>
        <w:rPr>
          <w:rStyle w:val="HangingAnActChar"/>
        </w:rPr>
      </w:pPr>
      <w:r w:rsidRPr="000C5590">
        <w:rPr>
          <w:rStyle w:val="BillHead"/>
        </w:rPr>
        <w:lastRenderedPageBreak/>
        <w:t>An Act</w:t>
      </w:r>
      <w:r w:rsidRPr="006B7FA7">
        <w:rPr>
          <w:rStyle w:val="HangingAnActChar"/>
        </w:rPr>
        <w:t xml:space="preserve"> </w:t>
      </w:r>
      <w:r>
        <w:rPr>
          <w:rStyle w:val="HangingAnActChar"/>
        </w:rPr>
        <w:t xml:space="preserve">concerning public hearing requirements for public utilities and amending P.L.1980, c.179 and P.L.1983, c.454. </w:t>
      </w:r>
    </w:p>
    <w:p w:rsidR="000C5590" w:rsidRPr="00D71D68" w:rsidRDefault="000C5590" w:rsidP="000C5590"/>
    <w:p w:rsidR="000C5590" w:rsidRPr="00AA7880" w:rsidRDefault="000C5590" w:rsidP="000C55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5590" w:rsidRDefault="000C5590" w:rsidP="000C5590"/>
    <w:p w:rsidR="000C5590" w:rsidRDefault="000C5590" w:rsidP="000C5590">
      <w:r>
        <w:tab/>
        <w:t>1.</w:t>
      </w:r>
      <w:r>
        <w:tab/>
        <w:t>Section 1 of P.L.1980, c.179 (C.48:2-32.4) is amended to read as follows:</w:t>
      </w:r>
    </w:p>
    <w:p w:rsidR="000C5590" w:rsidRDefault="000C5590" w:rsidP="000C5590">
      <w:r>
        <w:tab/>
        <w:t>1.</w:t>
      </w:r>
      <w:r>
        <w:tab/>
        <w:t>Prior to granting a public utility a proposed adjustment which would result in an increase in individual rates, joint rates, tolls, charges</w:t>
      </w:r>
      <w:r w:rsidRPr="00BC2B52">
        <w:rPr>
          <w:u w:val="single"/>
        </w:rPr>
        <w:t>,</w:t>
      </w:r>
      <w:r>
        <w:t xml:space="preserve"> or schedules thereof, the Board of Public Utilities or the Office of Administrative Law shall hold at least one public hearing in the municipality affected by the proposed adjustment.  If more than one municipality is located in </w:t>
      </w:r>
      <w:r w:rsidRPr="00BC2B52">
        <w:rPr>
          <w:rFonts w:ascii="Albertus Extra Bold" w:hAnsi="Albertus Extra Bold"/>
          <w:b/>
        </w:rPr>
        <w:t>[</w:t>
      </w:r>
      <w:r>
        <w:t>the service area</w:t>
      </w:r>
      <w:r w:rsidRPr="00BC2B52">
        <w:rPr>
          <w:rFonts w:ascii="Albertus Extra Bold" w:hAnsi="Albertus Extra Bold"/>
          <w:b/>
        </w:rPr>
        <w:t>]</w:t>
      </w:r>
      <w:r>
        <w:t xml:space="preserve"> </w:t>
      </w:r>
      <w:r>
        <w:rPr>
          <w:u w:val="single"/>
        </w:rPr>
        <w:t>a county</w:t>
      </w:r>
      <w:r>
        <w:t xml:space="preserve"> affected by the proposed adjustment, the public hearing shall be held in a centrally located municipality in the affected </w:t>
      </w:r>
      <w:r w:rsidRPr="00BC2B52">
        <w:rPr>
          <w:rFonts w:ascii="Albertus Extra Bold" w:hAnsi="Albertus Extra Bold"/>
          <w:b/>
        </w:rPr>
        <w:t>[</w:t>
      </w:r>
      <w:r>
        <w:t>service area</w:t>
      </w:r>
      <w:r w:rsidRPr="00BC2B52">
        <w:rPr>
          <w:rFonts w:ascii="Albertus Extra Bold" w:hAnsi="Albertus Extra Bold"/>
          <w:b/>
        </w:rPr>
        <w:t>]</w:t>
      </w:r>
      <w:r>
        <w:t xml:space="preserve"> </w:t>
      </w:r>
      <w:r w:rsidRPr="00BC2B52">
        <w:rPr>
          <w:u w:val="single"/>
        </w:rPr>
        <w:t>county</w:t>
      </w:r>
      <w:r>
        <w:t>.  Notice of any such hearing shall be furnished in the manner provided for notices generally pursuant to subsections c. and d. of section 34 of P.L.1962, c.198 (C.48:2-32.2).  In the case of a hearing held by the Office of Administrative Law, proof of service of notice by a public utility shall be furnished to that office.</w:t>
      </w:r>
    </w:p>
    <w:p w:rsidR="000C5590" w:rsidRDefault="000C5590" w:rsidP="000C5590">
      <w:r>
        <w:t>(</w:t>
      </w:r>
      <w:proofErr w:type="spellStart"/>
      <w:r>
        <w:t>cf</w:t>
      </w:r>
      <w:proofErr w:type="spellEnd"/>
      <w:r>
        <w:t>: P.L.1985, c.203, s.2)</w:t>
      </w:r>
    </w:p>
    <w:p w:rsidR="000C5590" w:rsidRDefault="000C5590" w:rsidP="000C5590"/>
    <w:p w:rsidR="000C5590" w:rsidRDefault="000C5590" w:rsidP="000C5590">
      <w:r>
        <w:tab/>
        <w:t>2.</w:t>
      </w:r>
      <w:r>
        <w:tab/>
        <w:t>Section 2 of P.L.1983, c.454 (C.48:2-32.6) is amended to read as follows:</w:t>
      </w:r>
    </w:p>
    <w:p w:rsidR="000C5590" w:rsidRDefault="000C5590" w:rsidP="000C5590">
      <w:r>
        <w:tab/>
        <w:t>2.</w:t>
      </w:r>
      <w:r>
        <w:tab/>
        <w:t>a.  The provisions of any other law, rule, regulation</w:t>
      </w:r>
      <w:r w:rsidRPr="009E1716">
        <w:rPr>
          <w:u w:val="single"/>
        </w:rPr>
        <w:t>,</w:t>
      </w:r>
      <w:r>
        <w:t xml:space="preserve"> or order to the contrary notwithstanding, the board, or the Office of Administrative Law acting pursuant to subsection (c) of section 10 of the "Administrative Procedure Act," P.L.1968, c.410 </w:t>
      </w:r>
      <w:r w:rsidRPr="00BC2B52">
        <w:rPr>
          <w:rFonts w:ascii="Albertus Extra Bold" w:hAnsi="Albertus Extra Bold"/>
          <w:b/>
        </w:rPr>
        <w:t>[</w:t>
      </w:r>
      <w:r>
        <w:t>(C.52:14B-10(c))</w:t>
      </w:r>
      <w:r w:rsidRPr="00BC2B52">
        <w:rPr>
          <w:rFonts w:ascii="Albertus Extra Bold" w:hAnsi="Albertus Extra Bold"/>
          <w:b/>
        </w:rPr>
        <w:t>]</w:t>
      </w:r>
      <w:r>
        <w:t xml:space="preserve"> </w:t>
      </w:r>
      <w:r w:rsidRPr="00BC2B52">
        <w:rPr>
          <w:u w:val="single"/>
        </w:rPr>
        <w:t>(C.52:14B-10)</w:t>
      </w:r>
      <w:r>
        <w:t xml:space="preserve">, shall conduct as many of its public  hearings held to review applications by gas and electric light, heat and power companies other than municipally owned companies for significant increases, changes, or alterations in their rate schedules, in the service area of the applicant as it deems necessary or appropriate to afford the affected ratepayers the opportunity to monitor the decision-making process by which the rates are set.  At least </w:t>
      </w:r>
      <w:r w:rsidRPr="00BC2B52">
        <w:rPr>
          <w:rFonts w:ascii="Albertus Extra Bold" w:hAnsi="Albertus Extra Bold"/>
          <w:b/>
        </w:rPr>
        <w:t>[</w:t>
      </w:r>
      <w:r>
        <w:t>two</w:t>
      </w:r>
      <w:r w:rsidRPr="00BC2B52">
        <w:rPr>
          <w:rFonts w:ascii="Albertus Extra Bold" w:hAnsi="Albertus Extra Bold"/>
          <w:b/>
        </w:rPr>
        <w:t>]</w:t>
      </w:r>
      <w:r>
        <w:t xml:space="preserve"> </w:t>
      </w:r>
      <w:r w:rsidRPr="00BC2B52">
        <w:rPr>
          <w:u w:val="single"/>
        </w:rPr>
        <w:t>one</w:t>
      </w:r>
      <w:r>
        <w:t xml:space="preserve"> public </w:t>
      </w:r>
      <w:r w:rsidRPr="00BC2B52">
        <w:rPr>
          <w:rFonts w:ascii="Albertus Extra Bold" w:hAnsi="Albertus Extra Bold"/>
          <w:b/>
        </w:rPr>
        <w:t>[</w:t>
      </w:r>
      <w:r>
        <w:t>hearings</w:t>
      </w:r>
      <w:r w:rsidRPr="00BC2B52">
        <w:rPr>
          <w:rFonts w:ascii="Albertus Extra Bold" w:hAnsi="Albertus Extra Bold"/>
          <w:b/>
        </w:rPr>
        <w:t>]</w:t>
      </w:r>
      <w:r>
        <w:t xml:space="preserve"> </w:t>
      </w:r>
      <w:r w:rsidRPr="00BC2B52">
        <w:rPr>
          <w:u w:val="single"/>
        </w:rPr>
        <w:t>hearing</w:t>
      </w:r>
      <w:r>
        <w:t xml:space="preserve"> shall be held in </w:t>
      </w:r>
      <w:r w:rsidRPr="00BC2B52">
        <w:rPr>
          <w:u w:val="single"/>
        </w:rPr>
        <w:t>every county in</w:t>
      </w:r>
      <w:r>
        <w:t xml:space="preserve"> the service area with respect to any application </w:t>
      </w:r>
      <w:r w:rsidRPr="00BC2B52">
        <w:rPr>
          <w:rFonts w:ascii="Albertus Extra Bold" w:hAnsi="Albertus Extra Bold"/>
          <w:b/>
        </w:rPr>
        <w:t>[</w:t>
      </w:r>
      <w:r>
        <w:t>except that if substantial portions of the service area are located in more than one geographic region of the State, then at least two public hearings shall be held in the service area located in each of those geographic regions</w:t>
      </w:r>
      <w:r w:rsidRPr="00D65B96">
        <w:rPr>
          <w:rFonts w:ascii="Albertus Extra Bold" w:hAnsi="Albertus Extra Bold"/>
          <w:b/>
        </w:rPr>
        <w:t>]</w:t>
      </w:r>
      <w:r>
        <w:t xml:space="preserve">, under the terms and conditions specified in this </w:t>
      </w:r>
      <w:r w:rsidRPr="00A942A0">
        <w:rPr>
          <w:rFonts w:ascii="Albertus Extra Bold" w:hAnsi="Albertus Extra Bold"/>
          <w:b/>
        </w:rPr>
        <w:t>[</w:t>
      </w:r>
      <w:r>
        <w:t>subsection</w:t>
      </w:r>
      <w:r w:rsidRPr="00A92838">
        <w:rPr>
          <w:rFonts w:ascii="Albertus Extra Bold" w:hAnsi="Albertus Extra Bold"/>
          <w:b/>
        </w:rPr>
        <w:t>]</w:t>
      </w:r>
      <w:r>
        <w:t xml:space="preserve"> </w:t>
      </w:r>
      <w:r>
        <w:rPr>
          <w:u w:val="single"/>
        </w:rPr>
        <w:t>section</w:t>
      </w:r>
      <w:r>
        <w:t xml:space="preserve">. </w:t>
      </w:r>
      <w:r w:rsidRPr="004D78C4">
        <w:rPr>
          <w:rFonts w:ascii="Albertus Extra Bold" w:hAnsi="Albertus Extra Bold"/>
          <w:b/>
        </w:rPr>
        <w:t>[</w:t>
      </w:r>
      <w:r>
        <w:t>One</w:t>
      </w:r>
      <w:r w:rsidRPr="004D78C4">
        <w:rPr>
          <w:rFonts w:ascii="Albertus Extra Bold" w:hAnsi="Albertus Extra Bold"/>
          <w:b/>
        </w:rPr>
        <w:t>]</w:t>
      </w:r>
      <w:r>
        <w:t xml:space="preserve"> </w:t>
      </w:r>
      <w:r>
        <w:rPr>
          <w:u w:val="single"/>
        </w:rPr>
        <w:t>If more than one public hearing is held, one</w:t>
      </w:r>
      <w:r>
        <w:t xml:space="preserve"> of the public hearings </w:t>
      </w:r>
      <w:r w:rsidRPr="003525CB">
        <w:rPr>
          <w:rFonts w:ascii="Albertus Extra Bold" w:hAnsi="Albertus Extra Bold"/>
          <w:b/>
        </w:rPr>
        <w:t>[</w:t>
      </w:r>
      <w:r>
        <w:t>held in the service area, or one of the hearings held in each geographic area, as the case may be,</w:t>
      </w:r>
      <w:r w:rsidRPr="00BC2B52">
        <w:rPr>
          <w:rFonts w:ascii="Albertus Extra Bold" w:hAnsi="Albertus Extra Bold"/>
          <w:b/>
        </w:rPr>
        <w:t>]</w:t>
      </w:r>
      <w:r>
        <w:t xml:space="preserve"> shall be a hearing in which petitioners, respondents, and </w:t>
      </w:r>
      <w:proofErr w:type="spellStart"/>
      <w:r>
        <w:t>intervenors</w:t>
      </w:r>
      <w:proofErr w:type="spellEnd"/>
      <w:r>
        <w:t xml:space="preserve"> are parties. </w:t>
      </w:r>
      <w:r w:rsidRPr="00A92838">
        <w:rPr>
          <w:rFonts w:ascii="Albertus Extra Bold" w:hAnsi="Albertus Extra Bold"/>
          <w:b/>
        </w:rPr>
        <w:t>[</w:t>
      </w:r>
      <w:r>
        <w:t>At the</w:t>
      </w:r>
      <w:r w:rsidRPr="00A92838">
        <w:rPr>
          <w:rFonts w:ascii="Albertus Extra Bold" w:hAnsi="Albertus Extra Bold"/>
          <w:b/>
        </w:rPr>
        <w:t>]</w:t>
      </w:r>
      <w:r>
        <w:t xml:space="preserve"> </w:t>
      </w:r>
      <w:r>
        <w:rPr>
          <w:u w:val="single"/>
        </w:rPr>
        <w:t xml:space="preserve">If </w:t>
      </w:r>
      <w:r w:rsidRPr="00A92838">
        <w:rPr>
          <w:u w:val="single"/>
        </w:rPr>
        <w:t>a</w:t>
      </w:r>
      <w:r>
        <w:t xml:space="preserve"> </w:t>
      </w:r>
      <w:r w:rsidRPr="00A92838">
        <w:t>second</w:t>
      </w:r>
      <w:r>
        <w:t xml:space="preserve"> hearing </w:t>
      </w:r>
      <w:r w:rsidRPr="00121200">
        <w:rPr>
          <w:rFonts w:ascii="Albertus Extra Bold" w:hAnsi="Albertus Extra Bold"/>
          <w:b/>
        </w:rPr>
        <w:t>[</w:t>
      </w:r>
      <w:r>
        <w:t>or hearings required by the provisions of this subsection</w:t>
      </w:r>
      <w:r w:rsidRPr="00AE232A">
        <w:rPr>
          <w:rFonts w:ascii="Albertus Extra Bold" w:hAnsi="Albertus Extra Bold"/>
          <w:b/>
        </w:rPr>
        <w:t>]</w:t>
      </w:r>
      <w:r>
        <w:t xml:space="preserve"> </w:t>
      </w:r>
      <w:r w:rsidRPr="00A92838">
        <w:rPr>
          <w:u w:val="single"/>
        </w:rPr>
        <w:t>is held</w:t>
      </w:r>
      <w:r w:rsidRPr="00AE232A">
        <w:rPr>
          <w:u w:val="single"/>
        </w:rPr>
        <w:t>,</w:t>
      </w:r>
      <w:r>
        <w:t xml:space="preserve"> statements by objectors shall be permitted.  All public hearings held pursuant to the provisions of this subsection shall be held at places which are easily accessible to the public with at least one such hearing held during evening hours.</w:t>
      </w:r>
    </w:p>
    <w:p w:rsidR="000C5590" w:rsidRDefault="000C5590" w:rsidP="000C5590">
      <w:r>
        <w:tab/>
        <w:t>b.</w:t>
      </w:r>
      <w:r>
        <w:tab/>
        <w:t xml:space="preserve">On the day that the final public hearing </w:t>
      </w:r>
      <w:r w:rsidRPr="00A942A0">
        <w:rPr>
          <w:u w:val="single"/>
        </w:rPr>
        <w:t>in each county</w:t>
      </w:r>
      <w:r>
        <w:rPr>
          <w:u w:val="single"/>
        </w:rPr>
        <w:t xml:space="preserve"> in the service area</w:t>
      </w:r>
      <w:r>
        <w:t xml:space="preserve"> is to be held in connection with any application, after which the recommended report and decision is to be filed in accordance with subsection (c) of section 10 of the "Administrative Procedure Act," P.L.1968, c.410 </w:t>
      </w:r>
      <w:r w:rsidRPr="009F6594">
        <w:rPr>
          <w:rFonts w:ascii="Albertus Extra Bold" w:hAnsi="Albertus Extra Bold"/>
          <w:b/>
        </w:rPr>
        <w:t>[</w:t>
      </w:r>
      <w:r>
        <w:t>(C.52:14B-10(c))</w:t>
      </w:r>
      <w:r w:rsidRPr="009F6594">
        <w:rPr>
          <w:rFonts w:ascii="Albertus Extra Bold" w:hAnsi="Albertus Extra Bold"/>
          <w:b/>
        </w:rPr>
        <w:t>]</w:t>
      </w:r>
      <w:r>
        <w:t xml:space="preserve"> </w:t>
      </w:r>
      <w:r w:rsidRPr="009F6594">
        <w:rPr>
          <w:u w:val="single"/>
        </w:rPr>
        <w:t>(C.52:14B-10)</w:t>
      </w:r>
      <w:r>
        <w:t xml:space="preserve">, the administrative law judge or the board, as the case may be, may require the parties to the proceedings to present a summary statement of their cases or defenses.  After such a presentation, statements by the objectors shall be permitted in order to accord persons not parties to the proceedings an opportunity to participate in the proceedings.  If no such presentation is made, objector's statements shall be permitted in any event before the conclusion of the hearing.  </w:t>
      </w:r>
      <w:r w:rsidRPr="009F6594">
        <w:rPr>
          <w:rFonts w:ascii="Albertus Extra Bold" w:hAnsi="Albertus Extra Bold"/>
          <w:b/>
        </w:rPr>
        <w:t>[</w:t>
      </w:r>
      <w:r>
        <w:t>The final public hearing shall be held in the service area.</w:t>
      </w:r>
      <w:r w:rsidRPr="00846795">
        <w:rPr>
          <w:rFonts w:ascii="Albertus Extra Bold" w:hAnsi="Albertus Extra Bold"/>
          <w:b/>
        </w:rPr>
        <w:t>]</w:t>
      </w:r>
    </w:p>
    <w:p w:rsidR="000C5590" w:rsidRDefault="000C5590" w:rsidP="000C5590">
      <w:r>
        <w:t>(</w:t>
      </w:r>
      <w:proofErr w:type="spellStart"/>
      <w:r>
        <w:t>cf</w:t>
      </w:r>
      <w:proofErr w:type="spellEnd"/>
      <w:r>
        <w:t>: P.L.1983, c.454, s.2)</w:t>
      </w:r>
    </w:p>
    <w:p w:rsidR="000C5590" w:rsidRPr="00D71D68" w:rsidRDefault="000C5590" w:rsidP="000C5590"/>
    <w:p w:rsidR="000C5590" w:rsidRPr="00AA7880" w:rsidRDefault="000C5590" w:rsidP="000C5590">
      <w:r>
        <w:tab/>
        <w:t>3.</w:t>
      </w:r>
      <w:r>
        <w:tab/>
        <w:t>This act shall take effect immediately.</w:t>
      </w:r>
    </w:p>
    <w:p w:rsidR="000C5590" w:rsidRDefault="000C5590" w:rsidP="000C5590"/>
    <w:p w:rsidR="00F45CD7" w:rsidRPr="00AA7880" w:rsidRDefault="00F45CD7" w:rsidP="000C5590"/>
    <w:p w:rsidR="000C5590" w:rsidRDefault="000C5590" w:rsidP="000C5590">
      <w:pPr>
        <w:jc w:val="center"/>
      </w:pPr>
      <w:r w:rsidRPr="00D71D68">
        <w:t>STATEMENT</w:t>
      </w:r>
    </w:p>
    <w:p w:rsidR="000C5590" w:rsidRPr="00AA7880" w:rsidRDefault="000C5590" w:rsidP="000C5590">
      <w:pPr>
        <w:jc w:val="center"/>
      </w:pPr>
    </w:p>
    <w:p w:rsidR="000C5590" w:rsidRPr="00D71D68" w:rsidRDefault="000C5590" w:rsidP="000C5590">
      <w:r>
        <w:tab/>
        <w:t>This bill amends current law concerning public hearing requirements for public utilities requesting rate adjustments.  Under the bill, at least one public hearing regarding an application for a rate adjustment is to be held in every county in the service area of the public utility making the application.  If more than one public hearing is held, the first is to be a public hearing involving the parties to the application for the rate adjustment.  The second public hearing is to provide the opportunity for public comment and objection to any application for a rate adjustment and is to be held in every county in the area served by the public utility making the application.</w:t>
      </w:r>
    </w:p>
    <w:p w:rsidR="000C5590" w:rsidRDefault="000C5590" w:rsidP="000C5590">
      <w:r>
        <w:tab/>
        <w:t>The bill also requires that at least one public hearing is to be held in a municipality affected by a proposed rate adjustment.  If more than one municipality in a county is affected by the proposed rate adjustment, the public hearing is to be held in a centrally located municipality in the county.</w:t>
      </w:r>
    </w:p>
    <w:p w:rsidR="000C5590" w:rsidRPr="00E7752C" w:rsidRDefault="000C5590" w:rsidP="000C5590">
      <w:r>
        <w:tab/>
        <w:t xml:space="preserve">Under current law, two public hearings in the service area are required when public utilities make application for a rate adjustment. This bill will require at least one public hearing in every county in the service area. </w:t>
      </w:r>
    </w:p>
    <w:sectPr w:rsidR="000C5590" w:rsidRPr="00E7752C" w:rsidSect="00690B75">
      <w:headerReference w:type="default" r:id="rId13"/>
      <w:footerReference w:type="default" r:id="rId14"/>
      <w:headerReference w:type="first" r:id="rId15"/>
      <w:footerReference w:type="first" r:id="rId16"/>
      <w:pgSz w:w="12240" w:h="20160" w:code="5"/>
      <w:pgMar w:top="1440" w:right="2520" w:bottom="1440"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553" w:rsidRDefault="00075553">
      <w:r>
        <w:separator/>
      </w:r>
    </w:p>
  </w:endnote>
  <w:endnote w:type="continuationSeparator" w:id="0">
    <w:p w:rsidR="00075553" w:rsidRDefault="0007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D7" w:rsidRPr="00921C91" w:rsidRDefault="00F45C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5CD7" w:rsidRPr="00921C91" w:rsidRDefault="00F45CD7">
    <w:pPr>
      <w:pStyle w:val="Footer"/>
      <w:rPr>
        <w:szCs w:val="18"/>
      </w:rPr>
    </w:pPr>
  </w:p>
  <w:p w:rsidR="00F45CD7" w:rsidRPr="00921C91" w:rsidRDefault="00F45C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5CD7" w:rsidRDefault="00F45CD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553" w:rsidRDefault="00075553">
      <w:r>
        <w:separator/>
      </w:r>
    </w:p>
  </w:footnote>
  <w:footnote w:type="continuationSeparator" w:id="0">
    <w:p w:rsidR="00075553" w:rsidRDefault="00075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0D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3869" w:rsidRDefault="00353869" w:rsidP="00353869">
    <w:pPr>
      <w:pStyle w:val="bpuHeadSpon"/>
    </w:pPr>
    <w:r w:rsidRPr="00353869">
      <w:rPr>
        <w:rStyle w:val="bpuHeadSponChar"/>
      </w:rPr>
      <w:t>A1494</w:t>
    </w:r>
    <w:r>
      <w:t xml:space="preserve"> ROONEY</w:t>
    </w:r>
  </w:p>
  <w:p w:rsidR="00353869" w:rsidRDefault="00353869" w:rsidP="00353869">
    <w:pPr>
      <w:pStyle w:val="bpuHeadSpon"/>
    </w:pPr>
    <w:r>
      <w:fldChar w:fldCharType="begin"/>
    </w:r>
    <w:r>
      <w:instrText xml:space="preserve"> PAGE  \* MERGEFORMAT </w:instrText>
    </w:r>
    <w:r>
      <w:fldChar w:fldCharType="separate"/>
    </w:r>
    <w:r w:rsidR="00140DA9">
      <w:rPr>
        <w:noProof/>
      </w:rPr>
      <w:t>3</w:t>
    </w:r>
    <w:r>
      <w:fldChar w:fldCharType="end"/>
    </w:r>
  </w:p>
  <w:p w:rsidR="00353869" w:rsidRPr="00AF575C" w:rsidRDefault="00353869" w:rsidP="003538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3869" w:rsidRDefault="00353869" w:rsidP="00353869">
    <w:pPr>
      <w:pStyle w:val="bpuHeadSpon"/>
    </w:pPr>
    <w:r w:rsidRPr="00353869">
      <w:rPr>
        <w:rStyle w:val="bpuHeadSponChar"/>
      </w:rPr>
      <w:t>A1494</w:t>
    </w:r>
    <w:r>
      <w:t xml:space="preserve"> ROONEY</w:t>
    </w:r>
  </w:p>
  <w:p w:rsidR="00353869" w:rsidRDefault="00353869" w:rsidP="00353869">
    <w:pPr>
      <w:pStyle w:val="bpuHeadSpon"/>
    </w:pPr>
    <w:r>
      <w:fldChar w:fldCharType="begin"/>
    </w:r>
    <w:r>
      <w:instrText xml:space="preserve"> PAGE  \* MERGEFORMAT </w:instrText>
    </w:r>
    <w:r>
      <w:fldChar w:fldCharType="separate"/>
    </w:r>
    <w:r w:rsidR="00140DA9">
      <w:rPr>
        <w:noProof/>
      </w:rPr>
      <w:t>2</w:t>
    </w:r>
    <w:r>
      <w:fldChar w:fldCharType="end"/>
    </w:r>
  </w:p>
  <w:p w:rsidR="00353869" w:rsidRDefault="00353869" w:rsidP="003538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553"/>
    <w:rsid w:val="00000169"/>
    <w:rsid w:val="00004D4D"/>
    <w:rsid w:val="00007B70"/>
    <w:rsid w:val="00007DDD"/>
    <w:rsid w:val="00010512"/>
    <w:rsid w:val="00011BAB"/>
    <w:rsid w:val="000154F3"/>
    <w:rsid w:val="000203E7"/>
    <w:rsid w:val="00020E5B"/>
    <w:rsid w:val="000219C8"/>
    <w:rsid w:val="00030BB1"/>
    <w:rsid w:val="00033A44"/>
    <w:rsid w:val="00035598"/>
    <w:rsid w:val="00050BCA"/>
    <w:rsid w:val="000521CD"/>
    <w:rsid w:val="00057488"/>
    <w:rsid w:val="000654B5"/>
    <w:rsid w:val="0006579B"/>
    <w:rsid w:val="00065BBF"/>
    <w:rsid w:val="00075553"/>
    <w:rsid w:val="000778CE"/>
    <w:rsid w:val="00094C8D"/>
    <w:rsid w:val="00095699"/>
    <w:rsid w:val="000A384F"/>
    <w:rsid w:val="000A5654"/>
    <w:rsid w:val="000A6268"/>
    <w:rsid w:val="000A66D5"/>
    <w:rsid w:val="000A7D31"/>
    <w:rsid w:val="000B3B59"/>
    <w:rsid w:val="000B64A4"/>
    <w:rsid w:val="000C559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DA9"/>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869"/>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01B"/>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B7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6FA"/>
    <w:rsid w:val="00A7436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A1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267C"/>
    <w:rsid w:val="00F14E45"/>
    <w:rsid w:val="00F17CFC"/>
    <w:rsid w:val="00F42480"/>
    <w:rsid w:val="00F45CD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1313EB3-55EB-40DC-BC39-A80CE6C5F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3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8D2F6-78ED-40DA-9F99-FDC48CBED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910</Words>
  <Characters>4709</Characters>
  <Application>Microsoft Office Word</Application>
  <DocSecurity>0</DocSecurity>
  <Lines>121</Lines>
  <Paragraphs>27</Paragraphs>
  <ScaleCrop>false</ScaleCrop>
  <HeadingPairs>
    <vt:vector size="2" baseType="variant">
      <vt:variant>
        <vt:lpstr>Title</vt:lpstr>
      </vt:variant>
      <vt:variant>
        <vt:i4>1</vt:i4>
      </vt:variant>
    </vt:vector>
  </HeadingPairs>
  <TitlesOfParts>
    <vt:vector size="1" baseType="lpstr">
      <vt:lpstr>A1494</vt:lpstr>
    </vt:vector>
  </TitlesOfParts>
  <Manager>R225</Manager>
  <Company>OFFICE of LEGISLATIVE SERVICES</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A1494</dc:title>
  <dc:creator>Assemblyman  ROONEY</dc:creator>
  <cp:keywords>A1494|3|JU |284|0|0|!|0|</cp:keywords>
  <dc:description>PREFILED 2020</dc:description>
  <cp:lastModifiedBy>Siracusa, Nicole</cp:lastModifiedBy>
  <cp:revision>2</cp:revision>
  <cp:lastPrinted>2020-01-09T15:55:00Z</cp:lastPrinted>
  <dcterms:created xsi:type="dcterms:W3CDTF">2020-01-09T20:36:00Z</dcterms:created>
  <dcterms:modified xsi:type="dcterms:W3CDTF">2020-01-09T20:36:00Z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