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3ECC" w:rsidRDefault="00123ECC" w:rsidP="00123ECC">
      <w:pPr>
        <w:pStyle w:val="bpuReprint"/>
      </w:pPr>
      <w:bookmarkStart w:id="0" w:name="bpuFrontPg"/>
      <w:bookmarkEnd w:id="0"/>
      <w:r>
        <w:t>[First Reprint]</w:t>
      </w:r>
    </w:p>
    <w:p w:rsidR="00E22CAA" w:rsidRDefault="00E22CAA" w:rsidP="00E22CAA">
      <w:pPr>
        <w:pStyle w:val="bpuBill"/>
      </w:pPr>
      <w:r>
        <w:t xml:space="preserve">ASSEMBLY, No. 1514 </w:t>
      </w:r>
    </w:p>
    <w:p w:rsidR="00E22CAA" w:rsidRPr="00E22CAA" w:rsidRDefault="00E22CAA" w:rsidP="00E22CA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pt" o:ole="">
            <v:imagedata r:id="rId7" o:title=""/>
          </v:shape>
          <o:OLEObject Type="Embed" ProgID="WPWin6.1" ShapeID="_x0000_i1025" DrawAspect="Content" ObjectID="_1676099770" r:id="rId8"/>
        </w:object>
      </w:r>
    </w:p>
    <w:p w:rsidR="00E22CAA" w:rsidRDefault="00E22CAA" w:rsidP="00E22CAA">
      <w:pPr>
        <w:pStyle w:val="bpuState"/>
      </w:pPr>
      <w:r>
        <w:t>STATE OF NEW JERSEY</w:t>
      </w:r>
    </w:p>
    <w:p w:rsidR="00E22CAA" w:rsidRDefault="00E22CAA" w:rsidP="00E22CAA">
      <w:pPr>
        <w:pStyle w:val="bpuLegislature"/>
      </w:pPr>
      <w:r>
        <w:t>219th LEGISLATURE</w:t>
      </w:r>
    </w:p>
    <w:p w:rsidR="00E22CAA" w:rsidRDefault="00E22CAA" w:rsidP="00E22CAA">
      <w:pPr>
        <w:pStyle w:val="bpuWpGraphic"/>
      </w:pPr>
      <w:r>
        <w:object w:dxaOrig="8985" w:dyaOrig="255">
          <v:shape id="_x0000_i1026" type="#_x0000_t75" style="width:6in;height:12.2pt" o:ole="">
            <v:imagedata r:id="rId7" o:title=""/>
          </v:shape>
          <o:OLEObject Type="Embed" ProgID="WPWin6.1" ShapeID="_x0000_i1026" DrawAspect="Content" ObjectID="_1676099771" r:id="rId9"/>
        </w:object>
      </w:r>
      <w:r>
        <w:t xml:space="preserve">  </w:t>
      </w:r>
    </w:p>
    <w:p w:rsidR="00E22CAA" w:rsidRDefault="00E22CAA" w:rsidP="00E22CAA">
      <w:pPr>
        <w:pStyle w:val="bpuIntro"/>
      </w:pPr>
      <w:r>
        <w:t>PRE-FILED FOR INTRODUCTION IN THE 2020 SESSION</w:t>
      </w:r>
    </w:p>
    <w:p w:rsidR="00E22CAA" w:rsidRDefault="00E22CAA" w:rsidP="00E22CAA">
      <w:pPr>
        <w:pStyle w:val="bpuIntro"/>
      </w:pPr>
    </w:p>
    <w:p w:rsidR="00E22CAA" w:rsidRDefault="00E22CAA" w:rsidP="00E22CAA">
      <w:pPr>
        <w:pStyle w:val="bpuIntro"/>
        <w:sectPr w:rsidR="00E22CAA" w:rsidSect="00ED4B7B">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E22CAA" w:rsidRDefault="00E22CAA" w:rsidP="00E22CAA">
      <w:pPr>
        <w:pStyle w:val="bpuIntro"/>
      </w:pPr>
    </w:p>
    <w:p w:rsidR="00E22CAA" w:rsidRDefault="00E22CAA" w:rsidP="00E22CAA">
      <w:pPr>
        <w:pStyle w:val="bpuSponsor"/>
      </w:pPr>
      <w:r>
        <w:t>Sponsored by:</w:t>
      </w:r>
    </w:p>
    <w:p w:rsidR="00E22CAA" w:rsidRDefault="00E22CAA" w:rsidP="00E22CAA">
      <w:pPr>
        <w:pStyle w:val="bpuSponsor"/>
      </w:pPr>
      <w:r>
        <w:t>Assemblyman  KEVIN J. ROONEY</w:t>
      </w:r>
    </w:p>
    <w:p w:rsidR="00E22CAA" w:rsidRDefault="00E22CAA" w:rsidP="00E22CAA">
      <w:pPr>
        <w:pStyle w:val="bpuSponsor"/>
      </w:pPr>
      <w:r>
        <w:t>District 40 (Bergen, Essex, Morris and Passaic)</w:t>
      </w:r>
    </w:p>
    <w:p w:rsidR="00E22CAA" w:rsidRDefault="007C6D19" w:rsidP="007C6D19">
      <w:pPr>
        <w:pStyle w:val="bpuSponsor"/>
      </w:pPr>
      <w:r>
        <w:t>Assemblyman  GORDON M. JOHNSON</w:t>
      </w:r>
    </w:p>
    <w:p w:rsidR="007C6D19" w:rsidRDefault="007C6D19" w:rsidP="007C6D19">
      <w:pPr>
        <w:pStyle w:val="bpuSponsor"/>
      </w:pPr>
      <w:r>
        <w:t>District 37 (Bergen)</w:t>
      </w:r>
    </w:p>
    <w:p w:rsidR="007C6D19" w:rsidRPr="007C6D19" w:rsidRDefault="007C6D19" w:rsidP="007C6D19">
      <w:pPr>
        <w:pStyle w:val="bpuSponsor"/>
      </w:pPr>
    </w:p>
    <w:p w:rsidR="00E92DB8" w:rsidRDefault="00ED4B7B" w:rsidP="00ED4B7B">
      <w:pPr>
        <w:pStyle w:val="bpuSponsor"/>
      </w:pPr>
      <w:r>
        <w:t>Co-Sponsored by:</w:t>
      </w:r>
    </w:p>
    <w:p w:rsidR="00ED4B7B" w:rsidRPr="00ED4B7B" w:rsidRDefault="00ED4B7B" w:rsidP="00ED4B7B">
      <w:pPr>
        <w:pStyle w:val="bpuSponsor"/>
      </w:pPr>
      <w:r w:rsidRPr="00ED4B7B">
        <w:t xml:space="preserve">Assemblymen McKeon, DeAngelo, Conaway, </w:t>
      </w:r>
      <w:proofErr w:type="spellStart"/>
      <w:r w:rsidRPr="00ED4B7B">
        <w:t>Karabinchak</w:t>
      </w:r>
      <w:proofErr w:type="spellEnd"/>
      <w:r w:rsidRPr="00ED4B7B">
        <w:t xml:space="preserve">, </w:t>
      </w:r>
      <w:proofErr w:type="spellStart"/>
      <w:r w:rsidRPr="00ED4B7B">
        <w:t>Danielsen</w:t>
      </w:r>
      <w:proofErr w:type="spellEnd"/>
      <w:r w:rsidRPr="00ED4B7B">
        <w:t xml:space="preserve">, Assemblywoman Timberlake, Assemblyman Catalano, Assemblywoman Lopez and Assemblyman </w:t>
      </w:r>
      <w:proofErr w:type="spellStart"/>
      <w:r w:rsidRPr="00ED4B7B">
        <w:t>McGuckin</w:t>
      </w:r>
      <w:proofErr w:type="spellEnd"/>
    </w:p>
    <w:p w:rsidR="005753D4" w:rsidRDefault="005753D4" w:rsidP="004E4338"/>
    <w:p w:rsidR="00ED4B7B" w:rsidRPr="004E4338" w:rsidRDefault="00ED4B7B" w:rsidP="004E4338"/>
    <w:p w:rsidR="00E22CAA" w:rsidRDefault="00E22CAA" w:rsidP="00E22CAA"/>
    <w:p w:rsidR="00E22CAA" w:rsidRPr="00E22CAA" w:rsidRDefault="00E22CAA" w:rsidP="00E22CAA"/>
    <w:p w:rsidR="00E22CAA" w:rsidRDefault="00E22CAA" w:rsidP="00E22CAA">
      <w:pPr>
        <w:pStyle w:val="bpuSponsor"/>
      </w:pPr>
      <w:r>
        <w:t>SYNOPSIS</w:t>
      </w:r>
    </w:p>
    <w:p w:rsidR="00E22CAA" w:rsidRDefault="00E22CAA" w:rsidP="00E22CAA">
      <w:pPr>
        <w:pStyle w:val="bpuNormText"/>
      </w:pPr>
      <w:r>
        <w:tab/>
        <w:t xml:space="preserve">Requires State entities to recycle certain materials and provide recycling bins in State buildings. </w:t>
      </w:r>
    </w:p>
    <w:p w:rsidR="00E22CAA" w:rsidRDefault="00E22CAA" w:rsidP="00E22CAA">
      <w:pPr>
        <w:pStyle w:val="bpuNormText"/>
      </w:pPr>
    </w:p>
    <w:p w:rsidR="00E22CAA" w:rsidRDefault="00E22CAA" w:rsidP="00E22CAA">
      <w:pPr>
        <w:pStyle w:val="bpuSponsor"/>
      </w:pPr>
      <w:r>
        <w:t xml:space="preserve">CURRENT VERSION OF TEXT </w:t>
      </w:r>
    </w:p>
    <w:p w:rsidR="00E22CAA" w:rsidRDefault="00123ECC" w:rsidP="00E22CAA">
      <w:pPr>
        <w:pStyle w:val="bpuNormText"/>
      </w:pPr>
      <w:r>
        <w:tab/>
        <w:t>As reported by the Assembly Environment and Solid Waste Committee on February 3, 2020, with amendments.</w:t>
      </w:r>
    </w:p>
    <w:p w:rsidR="00E22CAA" w:rsidRDefault="00E22CAA" w:rsidP="00E22CA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E22CAA" w:rsidRDefault="00E22CA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22CAA" w:rsidSect="00E22CAA">
          <w:type w:val="continuous"/>
          <w:pgSz w:w="12240" w:h="20160" w:code="5"/>
          <w:pgMar w:top="2160" w:right="2275" w:bottom="1440" w:left="2275" w:header="72" w:footer="720" w:gutter="0"/>
          <w:pgNumType w:start="1"/>
          <w:cols w:space="720"/>
          <w:docGrid w:linePitch="360"/>
        </w:sectPr>
      </w:pPr>
    </w:p>
    <w:p w:rsidR="000B4D0F" w:rsidRPr="00677316" w:rsidRDefault="000B4D0F" w:rsidP="000B4D0F">
      <w:pPr>
        <w:pStyle w:val="HangingAnAct"/>
        <w:rPr>
          <w:rStyle w:val="HangingAnActChar"/>
        </w:rPr>
      </w:pPr>
      <w:r w:rsidRPr="000B4D0F">
        <w:rPr>
          <w:rStyle w:val="BillHead"/>
        </w:rPr>
        <w:lastRenderedPageBreak/>
        <w:t>An Act</w:t>
      </w:r>
      <w:r w:rsidRPr="006B7FA7">
        <w:rPr>
          <w:rStyle w:val="HangingAnActChar"/>
        </w:rPr>
        <w:t xml:space="preserve"> </w:t>
      </w:r>
      <w:r>
        <w:t>concerning recycling in State bu</w:t>
      </w:r>
      <w:bookmarkStart w:id="1" w:name="_GoBack"/>
      <w:bookmarkEnd w:id="1"/>
      <w:r>
        <w:t xml:space="preserve">ildings and supplementing Title 52 of the Revised Statutes.  </w:t>
      </w:r>
    </w:p>
    <w:p w:rsidR="000B4D0F" w:rsidRPr="00D71D68" w:rsidRDefault="000B4D0F" w:rsidP="000B4D0F"/>
    <w:p w:rsidR="000B4D0F" w:rsidRPr="00AA7880" w:rsidRDefault="000B4D0F" w:rsidP="000B4D0F">
      <w:r>
        <w:tab/>
      </w:r>
      <w:r>
        <w:rPr>
          <w:rStyle w:val="BillHeading2"/>
        </w:rPr>
        <w:t xml:space="preserve">Be It Enacted </w:t>
      </w:r>
      <w:r>
        <w:rPr>
          <w:rStyle w:val="BillLanguage"/>
        </w:rPr>
        <w:t>by the Senate and General Assembly of the State of New Jersey:</w:t>
      </w:r>
    </w:p>
    <w:p w:rsidR="000B4D0F" w:rsidRDefault="000B4D0F" w:rsidP="000B4D0F"/>
    <w:p w:rsidR="00123ECC" w:rsidRPr="00123ECC" w:rsidRDefault="00123ECC" w:rsidP="00123ECC">
      <w:r w:rsidRPr="00123ECC">
        <w:tab/>
        <w:t>1.</w:t>
      </w:r>
      <w:r w:rsidRPr="00123ECC">
        <w:tab/>
        <w:t xml:space="preserve">a.  In addition to the requirements of any other law, rule, regulation, or order, within one year after the effective date of this act, each State entity shall: </w:t>
      </w:r>
    </w:p>
    <w:p w:rsidR="00123ECC" w:rsidRPr="00123ECC" w:rsidRDefault="00123ECC" w:rsidP="00123ECC">
      <w:r w:rsidRPr="00123ECC">
        <w:tab/>
        <w:t>(1)</w:t>
      </w:r>
      <w:r w:rsidRPr="00123ECC">
        <w:tab/>
        <w:t xml:space="preserve">provide for the source separation and recycling of any recyclable aluminum, corrugated cardboard, glass, paper, or plastic waste generated at each building or facility owned, leased, or operated by the State entity; </w:t>
      </w:r>
    </w:p>
    <w:p w:rsidR="00123ECC" w:rsidRPr="00123ECC" w:rsidRDefault="00123ECC" w:rsidP="00123ECC">
      <w:r w:rsidRPr="00123ECC">
        <w:tab/>
        <w:t>(2)</w:t>
      </w:r>
      <w:r w:rsidRPr="00123ECC">
        <w:tab/>
        <w:t xml:space="preserve">establish procedures for the collection and storage of any materials to be recycled pursuant to subsection a. of this section, and make necessary contractual arrangements for the collection, transportation, and recycling of those materials by individuals or entities licensed to do so; and  </w:t>
      </w:r>
    </w:p>
    <w:p w:rsidR="00123ECC" w:rsidRPr="00123ECC" w:rsidRDefault="00123ECC" w:rsidP="00123ECC">
      <w:r w:rsidRPr="00123ECC">
        <w:tab/>
        <w:t>(3)</w:t>
      </w:r>
      <w:r w:rsidRPr="00123ECC">
        <w:tab/>
        <w:t xml:space="preserve">provide adequate recycling receptacles, signage, information, education, and staffing at each building or facility owned, leased, or operated by the State entity to ensure compliance with this section.  Receptacles shall be made available to both State employees and members of the public.  </w:t>
      </w:r>
    </w:p>
    <w:p w:rsidR="00123ECC" w:rsidRPr="00123ECC" w:rsidRDefault="00123ECC" w:rsidP="00123ECC">
      <w:pPr>
        <w:rPr>
          <w:u w:val="single"/>
        </w:rPr>
      </w:pPr>
      <w:r w:rsidRPr="00123ECC">
        <w:tab/>
        <w:t>b.</w:t>
      </w:r>
      <w:r w:rsidRPr="00123ECC">
        <w:tab/>
      </w:r>
      <w:r w:rsidRPr="00123ECC">
        <w:rPr>
          <w:rFonts w:ascii="Albertus Extra Bold" w:hAnsi="Albertus Extra Bold"/>
          <w:b/>
          <w:vertAlign w:val="superscript"/>
        </w:rPr>
        <w:t>1</w:t>
      </w:r>
      <w:r w:rsidRPr="00123ECC">
        <w:rPr>
          <w:spacing w:val="0"/>
          <w:u w:val="single"/>
        </w:rPr>
        <w:t xml:space="preserve">The requirements of subsection a. of this section shall not apply to any building or facility located in a State park or forest where the Department of Environmental Protection is implementing a “carry-in, carry-out” trash program in which visitors to the State park or forest are required to take their trash with them upon departing the State park or forest. </w:t>
      </w:r>
    </w:p>
    <w:p w:rsidR="00123ECC" w:rsidRPr="00123ECC" w:rsidRDefault="00123ECC" w:rsidP="00123ECC">
      <w:r w:rsidRPr="00123ECC">
        <w:tab/>
      </w:r>
      <w:r w:rsidRPr="00123ECC">
        <w:rPr>
          <w:spacing w:val="0"/>
          <w:u w:val="single"/>
        </w:rPr>
        <w:t>c.</w:t>
      </w:r>
      <w:r w:rsidRPr="00123ECC">
        <w:rPr>
          <w:rFonts w:ascii="Albertus Extra Bold" w:hAnsi="Albertus Extra Bold"/>
          <w:b/>
          <w:vertAlign w:val="superscript"/>
        </w:rPr>
        <w:t>1</w:t>
      </w:r>
      <w:r w:rsidRPr="00123ECC">
        <w:t xml:space="preserve">  Within 180 days after the effective date of this act, the Department of the Treasury, in consultation with the Department of Environmental Protection, shall prepare and distribute guidance to assist State entities in complying with the requirements of this section. </w:t>
      </w:r>
    </w:p>
    <w:p w:rsidR="00123ECC" w:rsidRPr="00123ECC" w:rsidRDefault="00123ECC" w:rsidP="00123ECC">
      <w:r w:rsidRPr="00123ECC">
        <w:tab/>
      </w:r>
      <w:r w:rsidRPr="00123ECC">
        <w:rPr>
          <w:rFonts w:ascii="Albertus Extra Bold" w:hAnsi="Albertus Extra Bold"/>
          <w:b/>
          <w:vertAlign w:val="superscript"/>
        </w:rPr>
        <w:t>1</w:t>
      </w:r>
      <w:r w:rsidRPr="00123ECC">
        <w:rPr>
          <w:rFonts w:ascii="Albertus Extra Bold" w:hAnsi="Albertus Extra Bold"/>
          <w:b/>
        </w:rPr>
        <w:t>[</w:t>
      </w:r>
      <w:r w:rsidRPr="00123ECC">
        <w:t>c.</w:t>
      </w:r>
      <w:r w:rsidRPr="00123ECC">
        <w:rPr>
          <w:rFonts w:ascii="Albertus Extra Bold" w:hAnsi="Albertus Extra Bold"/>
          <w:b/>
        </w:rPr>
        <w:t>]</w:t>
      </w:r>
      <w:r w:rsidRPr="00123ECC">
        <w:rPr>
          <w:spacing w:val="0"/>
        </w:rPr>
        <w:t xml:space="preserve"> </w:t>
      </w:r>
      <w:r>
        <w:rPr>
          <w:spacing w:val="0"/>
        </w:rPr>
        <w:t xml:space="preserve"> </w:t>
      </w:r>
      <w:r w:rsidRPr="00123ECC">
        <w:rPr>
          <w:spacing w:val="0"/>
          <w:u w:val="single"/>
        </w:rPr>
        <w:t>d.</w:t>
      </w:r>
      <w:r w:rsidRPr="00123ECC">
        <w:rPr>
          <w:rFonts w:ascii="Albertus Extra Bold" w:hAnsi="Albertus Extra Bold"/>
          <w:b/>
          <w:vertAlign w:val="superscript"/>
        </w:rPr>
        <w:t>1</w:t>
      </w:r>
      <w:r w:rsidRPr="00123ECC">
        <w:rPr>
          <w:spacing w:val="0"/>
        </w:rPr>
        <w:t xml:space="preserve">  </w:t>
      </w:r>
      <w:r w:rsidRPr="00123ECC">
        <w:t xml:space="preserve">The Department of the Treasury, in consultation with the Department of Environmental Protection, shall work with the Administrative Office of the Courts and the Legislature to ensure compliance with the requirements of this section by the Judicial and Legislative Branches of State Government, respectively.  </w:t>
      </w:r>
    </w:p>
    <w:p w:rsidR="00123ECC" w:rsidRPr="00123ECC" w:rsidRDefault="00123ECC" w:rsidP="00123ECC">
      <w:r w:rsidRPr="00123ECC">
        <w:tab/>
      </w:r>
      <w:r w:rsidRPr="00123ECC">
        <w:rPr>
          <w:rFonts w:ascii="Albertus Extra Bold" w:hAnsi="Albertus Extra Bold"/>
          <w:b/>
          <w:vertAlign w:val="superscript"/>
        </w:rPr>
        <w:t>1</w:t>
      </w:r>
      <w:r w:rsidRPr="00123ECC">
        <w:rPr>
          <w:rFonts w:ascii="Albertus Extra Bold" w:hAnsi="Albertus Extra Bold"/>
          <w:b/>
        </w:rPr>
        <w:t>[</w:t>
      </w:r>
      <w:r w:rsidRPr="00123ECC">
        <w:t>d.</w:t>
      </w:r>
      <w:r w:rsidRPr="00123ECC">
        <w:rPr>
          <w:rFonts w:ascii="Albertus Extra Bold" w:hAnsi="Albertus Extra Bold"/>
          <w:b/>
        </w:rPr>
        <w:t>]</w:t>
      </w:r>
      <w:r w:rsidRPr="00123ECC">
        <w:rPr>
          <w:spacing w:val="0"/>
        </w:rPr>
        <w:t xml:space="preserve"> </w:t>
      </w:r>
      <w:r>
        <w:rPr>
          <w:spacing w:val="0"/>
        </w:rPr>
        <w:t xml:space="preserve"> </w:t>
      </w:r>
      <w:r w:rsidRPr="00123ECC">
        <w:rPr>
          <w:spacing w:val="0"/>
          <w:u w:val="single"/>
        </w:rPr>
        <w:t>e.</w:t>
      </w:r>
      <w:r w:rsidRPr="00123ECC">
        <w:rPr>
          <w:rFonts w:ascii="Albertus Extra Bold" w:hAnsi="Albertus Extra Bold"/>
          <w:b/>
          <w:vertAlign w:val="superscript"/>
        </w:rPr>
        <w:t>1</w:t>
      </w:r>
      <w:r w:rsidRPr="00123ECC">
        <w:rPr>
          <w:spacing w:val="0"/>
        </w:rPr>
        <w:t xml:space="preserve">  </w:t>
      </w:r>
      <w:r w:rsidRPr="00123ECC">
        <w:t>The Department of the Treasury, in consultation with the Department of Environmental Protection, may adopt, pursuant to the "Administrative Procedure Act," P.L.1968, c.410 (C.52:14B-1 et seq.), any rules and regulations necessary for the implementation of this act.</w:t>
      </w:r>
    </w:p>
    <w:p w:rsidR="00123ECC" w:rsidRPr="00123ECC" w:rsidRDefault="00123ECC" w:rsidP="00123ECC">
      <w:r w:rsidRPr="00123ECC">
        <w:lastRenderedPageBreak/>
        <w:tab/>
      </w:r>
      <w:r w:rsidRPr="00123ECC">
        <w:rPr>
          <w:rFonts w:ascii="Albertus Extra Bold" w:hAnsi="Albertus Extra Bold"/>
          <w:b/>
          <w:vertAlign w:val="superscript"/>
        </w:rPr>
        <w:t>1</w:t>
      </w:r>
      <w:r w:rsidRPr="00123ECC">
        <w:rPr>
          <w:rFonts w:ascii="Albertus Extra Bold" w:hAnsi="Albertus Extra Bold"/>
          <w:b/>
        </w:rPr>
        <w:t>[</w:t>
      </w:r>
      <w:r w:rsidRPr="00123ECC">
        <w:t>e.</w:t>
      </w:r>
      <w:r w:rsidRPr="00123ECC">
        <w:rPr>
          <w:rFonts w:ascii="Albertus Extra Bold" w:hAnsi="Albertus Extra Bold"/>
          <w:b/>
        </w:rPr>
        <w:t>]</w:t>
      </w:r>
      <w:r w:rsidRPr="00123ECC">
        <w:rPr>
          <w:spacing w:val="0"/>
        </w:rPr>
        <w:t xml:space="preserve"> </w:t>
      </w:r>
      <w:r>
        <w:rPr>
          <w:spacing w:val="0"/>
        </w:rPr>
        <w:t xml:space="preserve"> </w:t>
      </w:r>
      <w:r w:rsidRPr="00123ECC">
        <w:rPr>
          <w:spacing w:val="0"/>
          <w:u w:val="single"/>
        </w:rPr>
        <w:t>f.</w:t>
      </w:r>
      <w:r w:rsidRPr="00123ECC">
        <w:rPr>
          <w:rFonts w:ascii="Albertus Extra Bold" w:hAnsi="Albertus Extra Bold"/>
          <w:b/>
          <w:vertAlign w:val="superscript"/>
        </w:rPr>
        <w:t>1</w:t>
      </w:r>
      <w:r w:rsidRPr="00123ECC">
        <w:rPr>
          <w:spacing w:val="0"/>
        </w:rPr>
        <w:t xml:space="preserve">  </w:t>
      </w:r>
      <w:r w:rsidRPr="00123ECC">
        <w:t xml:space="preserve">As used in this section </w:t>
      </w:r>
      <w:r w:rsidRPr="00123ECC">
        <w:rPr>
          <w:rFonts w:ascii="Albertus Extra Bold" w:hAnsi="Albertus Extra Bold"/>
          <w:b/>
          <w:vertAlign w:val="superscript"/>
        </w:rPr>
        <w:t>1</w:t>
      </w:r>
      <w:r w:rsidRPr="00123ECC">
        <w:rPr>
          <w:rFonts w:ascii="Albertus Extra Bold" w:hAnsi="Albertus Extra Bold"/>
          <w:b/>
        </w:rPr>
        <w:t>[</w:t>
      </w:r>
      <w:r w:rsidRPr="00123ECC">
        <w:t>,</w:t>
      </w:r>
      <w:r w:rsidRPr="00123ECC">
        <w:rPr>
          <w:rFonts w:ascii="Albertus Extra Bold" w:hAnsi="Albertus Extra Bold"/>
          <w:b/>
        </w:rPr>
        <w:t>]</w:t>
      </w:r>
      <w:r w:rsidRPr="00123ECC">
        <w:rPr>
          <w:rFonts w:ascii="Albertus Extra Bold" w:hAnsi="Albertus Extra Bold"/>
          <w:b/>
          <w:vertAlign w:val="superscript"/>
        </w:rPr>
        <w:t>1</w:t>
      </w:r>
      <w:r w:rsidRPr="00123ECC">
        <w:t xml:space="preserve"> “State entity” means any branch, department, agency, or office of State government, including a State university or college, or an authority created by the State. </w:t>
      </w:r>
    </w:p>
    <w:p w:rsidR="00123ECC" w:rsidRPr="00123ECC" w:rsidRDefault="00123ECC" w:rsidP="00123ECC">
      <w:pPr>
        <w:rPr>
          <w:rFonts w:ascii="Albertus Extra Bold" w:hAnsi="Albertus Extra Bold"/>
          <w:b/>
          <w:vertAlign w:val="superscript"/>
        </w:rPr>
      </w:pPr>
      <w:r w:rsidRPr="00123ECC">
        <w:tab/>
      </w:r>
      <w:r w:rsidRPr="00123ECC">
        <w:rPr>
          <w:rFonts w:ascii="Albertus Extra Bold" w:hAnsi="Albertus Extra Bold"/>
          <w:b/>
          <w:vertAlign w:val="superscript"/>
        </w:rPr>
        <w:t>1</w:t>
      </w:r>
      <w:r w:rsidRPr="00123ECC">
        <w:rPr>
          <w:spacing w:val="0"/>
          <w:u w:val="single"/>
        </w:rPr>
        <w:t>“State park or forest” means the same as the term “State parks and forests” is defined pursuant to section 3 of P.L.1983, c.324 (C.13:1L-3).</w:t>
      </w:r>
      <w:r w:rsidRPr="00123ECC">
        <w:rPr>
          <w:rFonts w:ascii="Albertus Extra Bold" w:hAnsi="Albertus Extra Bold"/>
          <w:b/>
          <w:vertAlign w:val="superscript"/>
        </w:rPr>
        <w:t xml:space="preserve">1 </w:t>
      </w:r>
    </w:p>
    <w:p w:rsidR="00123ECC" w:rsidRPr="00123ECC" w:rsidRDefault="00123ECC" w:rsidP="00123EC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0B4D0F" w:rsidRDefault="000B4D0F" w:rsidP="000B4D0F">
      <w:r>
        <w:tab/>
        <w:t>2.</w:t>
      </w:r>
      <w:r>
        <w:tab/>
        <w:t xml:space="preserve">This act shall take effect immediately. </w:t>
      </w:r>
    </w:p>
    <w:sectPr w:rsidR="000B4D0F" w:rsidSect="00B850FE">
      <w:headerReference w:type="default" r:id="rId14"/>
      <w:footerReference w:type="default" r:id="rId15"/>
      <w:headerReference w:type="first" r:id="rId16"/>
      <w:footerReference w:type="first" r:id="rId17"/>
      <w:pgSz w:w="12240" w:h="20160" w:code="5"/>
      <w:pgMar w:top="1440" w:right="2520" w:bottom="1530" w:left="2880" w:header="1181" w:footer="123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08A4" w:rsidRDefault="005B08A4">
      <w:r>
        <w:separator/>
      </w:r>
    </w:p>
  </w:endnote>
  <w:endnote w:type="continuationSeparator" w:id="0">
    <w:p w:rsidR="005B08A4" w:rsidRDefault="005B08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6D19" w:rsidRDefault="00ED4B7B" w:rsidP="00ED4B7B">
    <w:pPr>
      <w:pStyle w:val="sponUdate"/>
    </w:pPr>
    <w:r>
      <w:t>(Sponsorship Updated As Of: 2/25/2020)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3ECC" w:rsidRPr="00921C91" w:rsidRDefault="00123EC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23ECC" w:rsidRPr="00921C91" w:rsidRDefault="00123ECC">
    <w:pPr>
      <w:pStyle w:val="Footer"/>
      <w:rPr>
        <w:szCs w:val="18"/>
      </w:rPr>
    </w:pPr>
  </w:p>
  <w:p w:rsidR="00123ECC" w:rsidRPr="00921C91" w:rsidRDefault="00123EC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23ECC" w:rsidRDefault="00123ECC">
    <w:pPr>
      <w:pStyle w:val="Footer"/>
    </w:pPr>
    <w:r>
      <w:tab/>
      <w:t>Matter enclosed in superscript numerals has been adopted as follows:</w:t>
    </w:r>
  </w:p>
  <w:p w:rsidR="00123ECC" w:rsidRDefault="00123ECC">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AEN committee amendments adopted February 3,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08A4" w:rsidRDefault="005B08A4">
      <w:r>
        <w:separator/>
      </w:r>
    </w:p>
  </w:footnote>
  <w:footnote w:type="continuationSeparator" w:id="0">
    <w:p w:rsidR="005B08A4" w:rsidRDefault="005B08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97D6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22CAA" w:rsidRDefault="00E22CAA" w:rsidP="00E22CAA">
    <w:pPr>
      <w:pStyle w:val="bpuHeadSpon"/>
    </w:pPr>
    <w:r w:rsidRPr="00E22CAA">
      <w:rPr>
        <w:rStyle w:val="bpuHeadSponChar"/>
      </w:rPr>
      <w:t>A1514</w:t>
    </w:r>
    <w:r>
      <w:t xml:space="preserve"> </w:t>
    </w:r>
    <w:r w:rsidR="00123ECC">
      <w:t xml:space="preserve">[1R] </w:t>
    </w:r>
    <w:r>
      <w:t xml:space="preserve">ROONEY, </w:t>
    </w:r>
    <w:r w:rsidR="00EE6781">
      <w:t>JOHNSON</w:t>
    </w:r>
  </w:p>
  <w:p w:rsidR="00E22CAA" w:rsidRDefault="00E22CAA" w:rsidP="00E22CAA">
    <w:pPr>
      <w:pStyle w:val="bpuHeadSpon"/>
    </w:pPr>
    <w:r>
      <w:fldChar w:fldCharType="begin"/>
    </w:r>
    <w:r>
      <w:instrText xml:space="preserve"> PAGE  \* MERGEFORMAT </w:instrText>
    </w:r>
    <w:r>
      <w:fldChar w:fldCharType="separate"/>
    </w:r>
    <w:r w:rsidR="00B97D6E">
      <w:rPr>
        <w:noProof/>
      </w:rPr>
      <w:t>3</w:t>
    </w:r>
    <w:r>
      <w:fldChar w:fldCharType="end"/>
    </w:r>
  </w:p>
  <w:p w:rsidR="00E22CAA" w:rsidRPr="00AF575C" w:rsidRDefault="00E22CAA" w:rsidP="00E22CA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22CAA" w:rsidRDefault="00E22CAA" w:rsidP="00E22CAA">
    <w:pPr>
      <w:pStyle w:val="bpuHeadSpon"/>
    </w:pPr>
    <w:r w:rsidRPr="00E22CAA">
      <w:rPr>
        <w:rStyle w:val="bpuHeadSponChar"/>
      </w:rPr>
      <w:t>A1514</w:t>
    </w:r>
    <w:r>
      <w:t xml:space="preserve"> </w:t>
    </w:r>
    <w:r w:rsidR="00123ECC">
      <w:t xml:space="preserve">[1R] </w:t>
    </w:r>
    <w:r>
      <w:t xml:space="preserve">ROONEY, </w:t>
    </w:r>
    <w:r w:rsidR="00EE6781">
      <w:t>JOHNSON</w:t>
    </w:r>
  </w:p>
  <w:p w:rsidR="00E22CAA" w:rsidRDefault="00E22CAA" w:rsidP="00E22CAA">
    <w:pPr>
      <w:pStyle w:val="bpuHeadSpon"/>
    </w:pPr>
    <w:r>
      <w:fldChar w:fldCharType="begin"/>
    </w:r>
    <w:r>
      <w:instrText xml:space="preserve"> PAGE  \* MERGEFORMAT </w:instrText>
    </w:r>
    <w:r>
      <w:fldChar w:fldCharType="separate"/>
    </w:r>
    <w:r w:rsidR="00B97D6E">
      <w:rPr>
        <w:noProof/>
      </w:rPr>
      <w:t>2</w:t>
    </w:r>
    <w:r>
      <w:fldChar w:fldCharType="end"/>
    </w:r>
  </w:p>
  <w:p w:rsidR="00E22CAA" w:rsidRDefault="00E22CAA" w:rsidP="00E22CA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7"/>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08A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4D0F"/>
    <w:rsid w:val="000B64A4"/>
    <w:rsid w:val="000C4BAD"/>
    <w:rsid w:val="000C657D"/>
    <w:rsid w:val="000D114D"/>
    <w:rsid w:val="000D6A40"/>
    <w:rsid w:val="000D6DFF"/>
    <w:rsid w:val="000E4219"/>
    <w:rsid w:val="000E4294"/>
    <w:rsid w:val="000E5EF5"/>
    <w:rsid w:val="000F34E2"/>
    <w:rsid w:val="000F6E7F"/>
    <w:rsid w:val="000F7BFB"/>
    <w:rsid w:val="000F7FF6"/>
    <w:rsid w:val="0011462B"/>
    <w:rsid w:val="00122532"/>
    <w:rsid w:val="00123ECC"/>
    <w:rsid w:val="001316C3"/>
    <w:rsid w:val="001330F6"/>
    <w:rsid w:val="00133BED"/>
    <w:rsid w:val="00136CE2"/>
    <w:rsid w:val="00140A92"/>
    <w:rsid w:val="00140FD3"/>
    <w:rsid w:val="00143A99"/>
    <w:rsid w:val="00150A42"/>
    <w:rsid w:val="00153466"/>
    <w:rsid w:val="001540B7"/>
    <w:rsid w:val="00156AE5"/>
    <w:rsid w:val="0017261D"/>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22E"/>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4338"/>
    <w:rsid w:val="004F18AF"/>
    <w:rsid w:val="00501B0F"/>
    <w:rsid w:val="0050427A"/>
    <w:rsid w:val="00505402"/>
    <w:rsid w:val="0050718B"/>
    <w:rsid w:val="0051355F"/>
    <w:rsid w:val="00515007"/>
    <w:rsid w:val="00515090"/>
    <w:rsid w:val="00520989"/>
    <w:rsid w:val="005311D7"/>
    <w:rsid w:val="00541E58"/>
    <w:rsid w:val="00546499"/>
    <w:rsid w:val="005475CF"/>
    <w:rsid w:val="005501DB"/>
    <w:rsid w:val="00550854"/>
    <w:rsid w:val="005508CF"/>
    <w:rsid w:val="00560F96"/>
    <w:rsid w:val="0056610D"/>
    <w:rsid w:val="00574518"/>
    <w:rsid w:val="005753D4"/>
    <w:rsid w:val="005836AB"/>
    <w:rsid w:val="00585FA1"/>
    <w:rsid w:val="005866AA"/>
    <w:rsid w:val="005876F1"/>
    <w:rsid w:val="00592664"/>
    <w:rsid w:val="0059343F"/>
    <w:rsid w:val="00596B76"/>
    <w:rsid w:val="005B08A4"/>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C6D19"/>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63B5"/>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95BBF"/>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D65"/>
    <w:rsid w:val="00B23EFE"/>
    <w:rsid w:val="00B24336"/>
    <w:rsid w:val="00B3656D"/>
    <w:rsid w:val="00B7201D"/>
    <w:rsid w:val="00B809B3"/>
    <w:rsid w:val="00B80AFD"/>
    <w:rsid w:val="00B850FE"/>
    <w:rsid w:val="00B854DC"/>
    <w:rsid w:val="00B90F81"/>
    <w:rsid w:val="00B91BF9"/>
    <w:rsid w:val="00B96DA0"/>
    <w:rsid w:val="00B97D6E"/>
    <w:rsid w:val="00BB2482"/>
    <w:rsid w:val="00BC4545"/>
    <w:rsid w:val="00BD30B3"/>
    <w:rsid w:val="00BD79EC"/>
    <w:rsid w:val="00BE204A"/>
    <w:rsid w:val="00BE26FC"/>
    <w:rsid w:val="00BF23C7"/>
    <w:rsid w:val="00BF506A"/>
    <w:rsid w:val="00BF7456"/>
    <w:rsid w:val="00C035F3"/>
    <w:rsid w:val="00C078A1"/>
    <w:rsid w:val="00C3401C"/>
    <w:rsid w:val="00C3756D"/>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4817"/>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0A86"/>
    <w:rsid w:val="00E22CAA"/>
    <w:rsid w:val="00E33D7F"/>
    <w:rsid w:val="00E44D94"/>
    <w:rsid w:val="00E500AD"/>
    <w:rsid w:val="00E53E99"/>
    <w:rsid w:val="00E66E37"/>
    <w:rsid w:val="00E73613"/>
    <w:rsid w:val="00E73A9B"/>
    <w:rsid w:val="00E74087"/>
    <w:rsid w:val="00E7752C"/>
    <w:rsid w:val="00E8330C"/>
    <w:rsid w:val="00E84646"/>
    <w:rsid w:val="00E875D8"/>
    <w:rsid w:val="00E87B2A"/>
    <w:rsid w:val="00E92DB8"/>
    <w:rsid w:val="00E938DD"/>
    <w:rsid w:val="00EB0958"/>
    <w:rsid w:val="00EB167F"/>
    <w:rsid w:val="00EB28D8"/>
    <w:rsid w:val="00EB6042"/>
    <w:rsid w:val="00EB71AE"/>
    <w:rsid w:val="00EC050B"/>
    <w:rsid w:val="00ED4B7B"/>
    <w:rsid w:val="00EE6781"/>
    <w:rsid w:val="00EE77BF"/>
    <w:rsid w:val="00EF5225"/>
    <w:rsid w:val="00F0415D"/>
    <w:rsid w:val="00F14E45"/>
    <w:rsid w:val="00F17CFC"/>
    <w:rsid w:val="00F42480"/>
    <w:rsid w:val="00F62572"/>
    <w:rsid w:val="00F6488F"/>
    <w:rsid w:val="00F70CF6"/>
    <w:rsid w:val="00F72DD6"/>
    <w:rsid w:val="00F85DDC"/>
    <w:rsid w:val="00F91244"/>
    <w:rsid w:val="00F95319"/>
    <w:rsid w:val="00FB3056"/>
    <w:rsid w:val="00FB309C"/>
    <w:rsid w:val="00FB3C7C"/>
    <w:rsid w:val="00FB6AF0"/>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BC589DD"/>
  <w15:docId w15:val="{6DEABE3A-4F98-4C06-9C7C-A133F45F8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B96DA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96DA0"/>
    <w:rPr>
      <w:rFonts w:ascii="Segoe UI" w:hAnsi="Segoe UI" w:cs="Segoe UI"/>
      <w:spacing w:val="4"/>
      <w:sz w:val="18"/>
      <w:szCs w:val="18"/>
    </w:rPr>
  </w:style>
  <w:style w:type="character" w:styleId="LineNumber">
    <w:name w:val="line number"/>
    <w:basedOn w:val="DefaultParagraphFont"/>
    <w:semiHidden/>
    <w:unhideWhenUsed/>
    <w:rsid w:val="00E22C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3F7B6A-54A5-422E-A0C5-A7138F8DFB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520</Words>
  <Characters>2915</Characters>
  <Application>Microsoft Office Word</Application>
  <DocSecurity>0</DocSecurity>
  <Lines>86</Lines>
  <Paragraphs>29</Paragraphs>
  <ScaleCrop>false</ScaleCrop>
  <HeadingPairs>
    <vt:vector size="2" baseType="variant">
      <vt:variant>
        <vt:lpstr>Title</vt:lpstr>
      </vt:variant>
      <vt:variant>
        <vt:i4>1</vt:i4>
      </vt:variant>
    </vt:vector>
  </HeadingPairs>
  <TitlesOfParts>
    <vt:vector size="1" baseType="lpstr">
      <vt:lpstr>A1514 1R</vt:lpstr>
    </vt:vector>
  </TitlesOfParts>
  <Manager>R211</Manager>
  <Company>OFFICE of LEGISLATIVE SERVICES</Company>
  <LinksUpToDate>false</LinksUpToDate>
  <CharactersWithSpaces>3449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A1514 1R</dc:title>
  <dc:creator>Assemblyman  ROONEY, Assemblywoman  PINKIN</dc:creator>
  <cp:keywords>A1514|3|EA |161|133|133|!||</cp:keywords>
  <dc:description>PREFILED 2020_x000d_
Amended 2/3/20</dc:description>
  <cp:lastModifiedBy>Sommers, Shelly</cp:lastModifiedBy>
  <cp:revision>2</cp:revision>
  <cp:lastPrinted>2021-03-01T15:29:00Z</cp:lastPrinted>
  <dcterms:created xsi:type="dcterms:W3CDTF">2021-03-01T15:29:00Z</dcterms:created>
  <dcterms:modified xsi:type="dcterms:W3CDTF">2021-03-01T15:29:00Z</dcterms:modified>
  <cp:category>s.1:C.52:32-5.5 to 2019/336</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