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230DA" w:rsidP="00407C9E">
      <w:pPr>
        <w:pStyle w:val="NoteOrEstimate"/>
      </w:pPr>
      <w:r>
        <w:t>LEGISLATIVE FISCAL ESTIMATE</w:t>
      </w:r>
    </w:p>
    <w:p w:rsidR="003D461A" w:rsidRPr="003D461A" w:rsidRDefault="003D461A" w:rsidP="003D461A">
      <w:pPr>
        <w:jc w:val="center"/>
        <w:rPr>
          <w:sz w:val="36"/>
          <w:szCs w:val="36"/>
        </w:rPr>
      </w:pPr>
      <w:r>
        <w:rPr>
          <w:sz w:val="36"/>
          <w:szCs w:val="36"/>
        </w:rPr>
        <w:t>ASSEMBLY COMMITTEE SUBSTITUTE FOR</w:t>
      </w:r>
    </w:p>
    <w:p w:rsidR="003C5892" w:rsidRDefault="009230D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w:t>
      </w:r>
      <w:r w:rsidR="00794CF3">
        <w:t>s</w:t>
      </w:r>
      <w:r w:rsidR="003C5892">
        <w:t xml:space="preserve">. </w:t>
      </w:r>
      <w:r>
        <w:t>1571</w:t>
      </w:r>
      <w:r w:rsidR="003D461A">
        <w:t xml:space="preserve"> and 1576</w:t>
      </w:r>
    </w:p>
    <w:p w:rsidR="003D461A" w:rsidRPr="003D461A" w:rsidRDefault="003D461A" w:rsidP="003D461A"/>
    <w:p w:rsidR="003C5892" w:rsidRPr="00353325" w:rsidRDefault="003C5892" w:rsidP="00353325">
      <w:pPr>
        <w:pStyle w:val="StateFormat"/>
      </w:pPr>
      <w:r>
        <w:t xml:space="preserve">STATE OF NEW </w:t>
      </w:r>
      <w:smartTag w:uri="urn:schemas-microsoft-com:office:smarttags" w:element="place">
        <w:r>
          <w:t>JERSEY</w:t>
        </w:r>
      </w:smartTag>
    </w:p>
    <w:p w:rsidR="00353325" w:rsidRDefault="00201686" w:rsidP="00201686">
      <w:pPr>
        <w:pStyle w:val="BillNo"/>
      </w:pPr>
      <w:r>
        <w:t>219th LEGISLATURE</w:t>
      </w:r>
    </w:p>
    <w:p w:rsidR="00353325" w:rsidRDefault="00353325" w:rsidP="00353325"/>
    <w:p w:rsidR="00201686" w:rsidRDefault="00201686" w:rsidP="00201686">
      <w:pPr>
        <w:jc w:val="center"/>
      </w:pPr>
      <w:r>
        <w:t>DATED: FEBRUARY 22, 2021</w:t>
      </w:r>
    </w:p>
    <w:p w:rsidR="00201686" w:rsidRDefault="00201686" w:rsidP="00353325"/>
    <w:p w:rsidR="00201686" w:rsidRDefault="0020168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D461A" w:rsidP="00515AC5">
            <w:r>
              <w:t>Imposes prevailing wage for public work on properties receiving tax abatements or exemptions.</w:t>
            </w:r>
          </w:p>
        </w:tc>
      </w:tr>
      <w:tr w:rsidR="00844C35">
        <w:trPr>
          <w:trHeight w:val="576"/>
        </w:trPr>
        <w:tc>
          <w:tcPr>
            <w:tcW w:w="2333" w:type="dxa"/>
          </w:tcPr>
          <w:p w:rsidR="00844C35" w:rsidRPr="003C5892" w:rsidRDefault="00844C35" w:rsidP="00844C35">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44C35" w:rsidRDefault="00844C35" w:rsidP="00844C35">
            <w:r>
              <w:t>Annual increase in expenditures to State and local government.</w:t>
            </w:r>
          </w:p>
        </w:tc>
      </w:tr>
      <w:tr w:rsidR="00844C35">
        <w:trPr>
          <w:trHeight w:val="576"/>
        </w:trPr>
        <w:tc>
          <w:tcPr>
            <w:tcW w:w="2333" w:type="dxa"/>
          </w:tcPr>
          <w:p w:rsidR="00844C35" w:rsidRPr="003C5892" w:rsidRDefault="00844C35" w:rsidP="00844C35">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44C35" w:rsidRDefault="00844C35" w:rsidP="00844C35">
            <w:r>
              <w:t>Various State agencies; local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6210"/>
        <w:gridCol w:w="15"/>
      </w:tblGrid>
      <w:tr w:rsidR="00844C35" w:rsidTr="00931B89">
        <w:trPr>
          <w:trHeight w:val="410"/>
        </w:trPr>
        <w:tc>
          <w:tcPr>
            <w:tcW w:w="9375" w:type="dxa"/>
            <w:gridSpan w:val="3"/>
            <w:tcBorders>
              <w:top w:val="nil"/>
              <w:left w:val="nil"/>
              <w:bottom w:val="nil"/>
              <w:right w:val="nil"/>
            </w:tcBorders>
            <w:vAlign w:val="bottom"/>
          </w:tcPr>
          <w:p w:rsidR="00844C35" w:rsidRPr="00F11982" w:rsidRDefault="00844C35" w:rsidP="00931B8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44C35" w:rsidTr="00931B89">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844C35" w:rsidRPr="00F11982" w:rsidRDefault="00844C35" w:rsidP="00931B8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10" w:type="dxa"/>
            <w:tcBorders>
              <w:top w:val="single" w:sz="6" w:space="0" w:color="auto"/>
              <w:left w:val="nil"/>
              <w:bottom w:val="single" w:sz="12" w:space="0" w:color="auto"/>
              <w:right w:val="single" w:sz="6" w:space="0" w:color="auto"/>
            </w:tcBorders>
            <w:shd w:val="pct20" w:color="auto" w:fill="auto"/>
            <w:vAlign w:val="bottom"/>
          </w:tcPr>
          <w:p w:rsidR="00844C35" w:rsidRPr="00F11982" w:rsidRDefault="00844C35" w:rsidP="00931B89">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844C35" w:rsidTr="00931B89">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844C35" w:rsidRPr="00F11982" w:rsidRDefault="00844C35" w:rsidP="00931B89">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210" w:type="dxa"/>
            <w:tcBorders>
              <w:top w:val="nil"/>
              <w:left w:val="nil"/>
              <w:bottom w:val="nil"/>
              <w:right w:val="single" w:sz="6" w:space="0" w:color="auto"/>
            </w:tcBorders>
            <w:tcMar>
              <w:bottom w:w="29" w:type="dxa"/>
            </w:tcMar>
            <w:vAlign w:val="bottom"/>
          </w:tcPr>
          <w:p w:rsidR="00844C35" w:rsidRDefault="00844C35" w:rsidP="00931B89">
            <w:pPr>
              <w:tabs>
                <w:tab w:val="left" w:pos="360"/>
                <w:tab w:val="left" w:pos="720"/>
                <w:tab w:val="left" w:pos="1440"/>
                <w:tab w:val="left" w:pos="2160"/>
                <w:tab w:val="left" w:pos="2880"/>
                <w:tab w:val="left" w:pos="3600"/>
                <w:tab w:val="left" w:pos="4320"/>
                <w:tab w:val="left" w:pos="5040"/>
              </w:tabs>
              <w:jc w:val="center"/>
            </w:pPr>
            <w:r>
              <w:t>Indeterminate</w:t>
            </w:r>
          </w:p>
        </w:tc>
      </w:tr>
      <w:tr w:rsidR="00844C35" w:rsidTr="00931B89">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844C35" w:rsidRPr="00F11982" w:rsidRDefault="00844C35" w:rsidP="00931B89">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210" w:type="dxa"/>
            <w:tcBorders>
              <w:top w:val="nil"/>
              <w:left w:val="nil"/>
              <w:bottom w:val="nil"/>
              <w:right w:val="single" w:sz="6" w:space="0" w:color="auto"/>
            </w:tcBorders>
            <w:tcMar>
              <w:bottom w:w="29" w:type="dxa"/>
            </w:tcMar>
            <w:vAlign w:val="bottom"/>
          </w:tcPr>
          <w:p w:rsidR="00844C35" w:rsidRDefault="00844C35" w:rsidP="00931B89">
            <w:pPr>
              <w:tabs>
                <w:tab w:val="left" w:pos="360"/>
                <w:tab w:val="left" w:pos="720"/>
                <w:tab w:val="left" w:pos="1440"/>
                <w:tab w:val="left" w:pos="2160"/>
                <w:tab w:val="left" w:pos="2880"/>
                <w:tab w:val="left" w:pos="3600"/>
                <w:tab w:val="left" w:pos="4320"/>
                <w:tab w:val="left" w:pos="5040"/>
              </w:tabs>
              <w:jc w:val="center"/>
            </w:pPr>
            <w:r>
              <w:t>Indeterminate</w:t>
            </w:r>
          </w:p>
        </w:tc>
      </w:tr>
      <w:tr w:rsidR="00844C35" w:rsidTr="00931B89">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844C35" w:rsidRDefault="00844C35" w:rsidP="00931B89">
            <w:pPr>
              <w:tabs>
                <w:tab w:val="left" w:pos="360"/>
                <w:tab w:val="left" w:pos="720"/>
                <w:tab w:val="left" w:pos="1440"/>
                <w:tab w:val="left" w:pos="2160"/>
                <w:tab w:val="left" w:pos="2880"/>
                <w:tab w:val="left" w:pos="3600"/>
                <w:tab w:val="left" w:pos="4320"/>
                <w:tab w:val="left" w:pos="5040"/>
              </w:tabs>
            </w:pPr>
          </w:p>
        </w:tc>
      </w:tr>
    </w:tbl>
    <w:p w:rsidR="00844C35" w:rsidRDefault="00844C35" w:rsidP="00844C35">
      <w:pPr>
        <w:tabs>
          <w:tab w:val="left" w:pos="360"/>
          <w:tab w:val="left" w:pos="720"/>
          <w:tab w:val="left" w:pos="1440"/>
          <w:tab w:val="left" w:pos="2160"/>
          <w:tab w:val="left" w:pos="2880"/>
          <w:tab w:val="left" w:pos="3600"/>
          <w:tab w:val="left" w:pos="4320"/>
          <w:tab w:val="left" w:pos="5040"/>
        </w:tabs>
      </w:pPr>
    </w:p>
    <w:p w:rsidR="00844C35" w:rsidRDefault="00E304B9" w:rsidP="009F2698">
      <w:pPr>
        <w:pStyle w:val="StyleBulletedSymbolsymbol"/>
        <w:tabs>
          <w:tab w:val="left" w:pos="360"/>
          <w:tab w:val="left" w:pos="720"/>
          <w:tab w:val="left" w:pos="1440"/>
          <w:tab w:val="left" w:pos="2160"/>
          <w:tab w:val="left" w:pos="2880"/>
          <w:tab w:val="left" w:pos="3600"/>
          <w:tab w:val="left" w:pos="4320"/>
          <w:tab w:val="left" w:pos="5040"/>
        </w:tabs>
        <w:spacing w:after="0"/>
      </w:pPr>
      <w:r w:rsidRPr="00E304B9">
        <w:t>The Office of Legislati</w:t>
      </w:r>
      <w:r w:rsidR="00927397">
        <w:t>ve Services (OLS) notes that</w:t>
      </w:r>
      <w:r w:rsidRPr="00E304B9">
        <w:t xml:space="preserve"> enactment of the bill may result in an indeterminate annual increase in State and local government expenditures by broadening the definition of what constitutes a public work and is to be subject to prevailing wage requirements.  </w:t>
      </w:r>
      <w:r>
        <w:t xml:space="preserve">This </w:t>
      </w:r>
      <w:r w:rsidR="00927397">
        <w:t>expanded definition would increase the cost of</w:t>
      </w:r>
      <w:r w:rsidR="006F5396">
        <w:t xml:space="preserve"> constr</w:t>
      </w:r>
      <w:r w:rsidR="00927397">
        <w:t>uction and other public work contracts entered into by the</w:t>
      </w:r>
      <w:r w:rsidR="006F5396">
        <w:t xml:space="preserve"> S</w:t>
      </w:r>
      <w:r w:rsidR="00927397">
        <w:t>tate and local governments</w:t>
      </w:r>
      <w:r w:rsidR="006F5396">
        <w:t xml:space="preserve">. </w:t>
      </w:r>
    </w:p>
    <w:p w:rsidR="00844C35" w:rsidRDefault="00844C35" w:rsidP="00844C3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8199E" w:rsidRPr="0078199E" w:rsidRDefault="0078199E" w:rsidP="0078199E">
      <w:pPr>
        <w:tabs>
          <w:tab w:val="left" w:pos="360"/>
          <w:tab w:val="left" w:pos="720"/>
          <w:tab w:val="left" w:pos="1080"/>
          <w:tab w:val="left" w:pos="1440"/>
          <w:tab w:val="left" w:pos="2160"/>
          <w:tab w:val="left" w:pos="2880"/>
          <w:tab w:val="left" w:pos="3600"/>
        </w:tabs>
        <w:rPr>
          <w:szCs w:val="20"/>
        </w:rPr>
      </w:pPr>
      <w:r w:rsidRPr="0078199E">
        <w:rPr>
          <w:szCs w:val="20"/>
        </w:rPr>
        <w:tab/>
        <w:t>This bill makes subject to the prevailing wage requireme</w:t>
      </w:r>
      <w:r w:rsidR="0067024D">
        <w:rPr>
          <w:szCs w:val="20"/>
        </w:rPr>
        <w:t xml:space="preserve">nt </w:t>
      </w:r>
      <w:r w:rsidRPr="0078199E">
        <w:rPr>
          <w:szCs w:val="20"/>
        </w:rPr>
        <w:t>any public work done on a property</w:t>
      </w:r>
      <w:r w:rsidR="008D75F6">
        <w:rPr>
          <w:szCs w:val="20"/>
        </w:rPr>
        <w:t xml:space="preserve"> </w:t>
      </w:r>
      <w:r w:rsidRPr="0078199E">
        <w:rPr>
          <w:szCs w:val="20"/>
        </w:rPr>
        <w:t>for which a public body provides, approves or authorizes a tax abatement or exemption unless the propert</w:t>
      </w:r>
      <w:r w:rsidR="0067024D">
        <w:rPr>
          <w:szCs w:val="20"/>
        </w:rPr>
        <w:t>y</w:t>
      </w:r>
      <w:r w:rsidRPr="0078199E">
        <w:rPr>
          <w:szCs w:val="20"/>
        </w:rPr>
        <w:t xml:space="preserve"> is exempt,</w:t>
      </w:r>
      <w:r w:rsidR="00CF6F4A">
        <w:rPr>
          <w:szCs w:val="20"/>
        </w:rPr>
        <w:t xml:space="preserve"> like in the case of a nonprofit organization,</w:t>
      </w:r>
      <w:r w:rsidRPr="0078199E">
        <w:rPr>
          <w:szCs w:val="20"/>
        </w:rPr>
        <w:t xml:space="preserve"> and is not subject to the </w:t>
      </w:r>
      <w:r w:rsidR="00675E42">
        <w:rPr>
          <w:szCs w:val="20"/>
        </w:rPr>
        <w:t xml:space="preserve">statutory </w:t>
      </w:r>
      <w:r w:rsidRPr="0078199E">
        <w:rPr>
          <w:szCs w:val="20"/>
        </w:rPr>
        <w:t xml:space="preserve">provisions </w:t>
      </w:r>
      <w:r w:rsidR="00675E42">
        <w:rPr>
          <w:szCs w:val="20"/>
        </w:rPr>
        <w:t>concerning</w:t>
      </w:r>
      <w:r w:rsidRPr="0078199E">
        <w:rPr>
          <w:szCs w:val="20"/>
        </w:rPr>
        <w:t xml:space="preserve"> public works of the New Jersey Economic Development Authority </w:t>
      </w:r>
      <w:r w:rsidR="00675E42">
        <w:rPr>
          <w:szCs w:val="20"/>
        </w:rPr>
        <w:t xml:space="preserve">or </w:t>
      </w:r>
      <w:r w:rsidRPr="0078199E">
        <w:rPr>
          <w:szCs w:val="20"/>
        </w:rPr>
        <w:t xml:space="preserve"> the Casino Reinvestment Development Authority.</w:t>
      </w:r>
    </w:p>
    <w:p w:rsidR="00255944" w:rsidRPr="00201686" w:rsidRDefault="0078199E" w:rsidP="00201686">
      <w:pPr>
        <w:tabs>
          <w:tab w:val="left" w:pos="360"/>
          <w:tab w:val="left" w:pos="720"/>
          <w:tab w:val="left" w:pos="1080"/>
          <w:tab w:val="left" w:pos="1440"/>
          <w:tab w:val="left" w:pos="2160"/>
          <w:tab w:val="left" w:pos="2880"/>
          <w:tab w:val="left" w:pos="3600"/>
        </w:tabs>
        <w:rPr>
          <w:szCs w:val="20"/>
        </w:rPr>
      </w:pPr>
      <w:r w:rsidRPr="0078199E">
        <w:rPr>
          <w:szCs w:val="20"/>
        </w:rPr>
        <w:tab/>
        <w:t>Additionally, the bill expands the definition of public work to include projects in which not less than 35 percent of the property is leased by a public body,</w:t>
      </w:r>
      <w:r w:rsidR="0067024D">
        <w:rPr>
          <w:szCs w:val="20"/>
        </w:rPr>
        <w:t xml:space="preserve"> </w:t>
      </w:r>
      <w:r w:rsidR="00211667">
        <w:rPr>
          <w:szCs w:val="20"/>
        </w:rPr>
        <w:t xml:space="preserve">a reduction </w:t>
      </w:r>
      <w:r w:rsidR="0067024D">
        <w:rPr>
          <w:szCs w:val="20"/>
        </w:rPr>
        <w:t>from 55 percent under current</w:t>
      </w:r>
      <w:r w:rsidR="00211667">
        <w:rPr>
          <w:szCs w:val="20"/>
        </w:rPr>
        <w:t xml:space="preserve"> law.  The bill maintains the 20,000 square foot threshold in the definition of public work project. </w:t>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75E42">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B4690" w:rsidRDefault="00255944" w:rsidP="00EF17BC">
      <w:pPr>
        <w:tabs>
          <w:tab w:val="left" w:pos="360"/>
          <w:tab w:val="left" w:pos="720"/>
          <w:tab w:val="left" w:pos="1440"/>
          <w:tab w:val="left" w:pos="2160"/>
          <w:tab w:val="left" w:pos="2880"/>
          <w:tab w:val="left" w:pos="3600"/>
          <w:tab w:val="left" w:pos="4320"/>
          <w:tab w:val="left" w:pos="5040"/>
        </w:tabs>
      </w:pPr>
      <w:r>
        <w:tab/>
      </w:r>
      <w:r w:rsidR="00675E42">
        <w:t>The OLS</w:t>
      </w:r>
      <w:r w:rsidR="00675E42" w:rsidRPr="00675E42">
        <w:t xml:space="preserve"> </w:t>
      </w:r>
      <w:r w:rsidR="008B4690">
        <w:t>notes that</w:t>
      </w:r>
      <w:r w:rsidR="008B4690" w:rsidRPr="00E304B9">
        <w:t xml:space="preserve"> enactment of the bill may result in an indeterminate annual increase in State and local government expenditures by broadening the definition of what constitutes a public work and is to be subject to prevailing wage requirements.</w:t>
      </w:r>
      <w:r w:rsidR="008B4690">
        <w:t xml:space="preserve">  Under current law, prevailing wage requirements apply to public works where the public body leases at least 55 percent of the property space and that space is more than 20,000 square feet.  T</w:t>
      </w:r>
      <w:r w:rsidR="00C11BBD">
        <w:t xml:space="preserve">his bill reduces the amount of space that needs to be leased by a public body to constitute a public work to 35 percent from 55 percent while maintaining the square footage requirement.  The </w:t>
      </w:r>
      <w:r w:rsidR="00211667">
        <w:t xml:space="preserve">bill </w:t>
      </w:r>
      <w:r w:rsidR="00C11BBD">
        <w:t xml:space="preserve">also expands the definition of public work to include </w:t>
      </w:r>
      <w:r w:rsidR="00C11BBD" w:rsidRPr="0078199E">
        <w:rPr>
          <w:szCs w:val="20"/>
        </w:rPr>
        <w:t>any public work done on a property</w:t>
      </w:r>
      <w:r w:rsidR="00C11BBD">
        <w:rPr>
          <w:szCs w:val="20"/>
        </w:rPr>
        <w:t xml:space="preserve"> </w:t>
      </w:r>
      <w:r w:rsidR="00794CF3">
        <w:rPr>
          <w:szCs w:val="20"/>
        </w:rPr>
        <w:t>that is provided a</w:t>
      </w:r>
      <w:r w:rsidR="00C11BBD">
        <w:rPr>
          <w:szCs w:val="20"/>
        </w:rPr>
        <w:t xml:space="preserve"> tax abatement or </w:t>
      </w:r>
      <w:r w:rsidR="00C11BBD" w:rsidRPr="0078199E">
        <w:rPr>
          <w:szCs w:val="20"/>
        </w:rPr>
        <w:t>exemption</w:t>
      </w:r>
      <w:r w:rsidR="00C11BBD">
        <w:rPr>
          <w:szCs w:val="20"/>
        </w:rPr>
        <w:t>, subject to certain exceptions.</w:t>
      </w:r>
      <w:r w:rsidR="00C11BBD">
        <w:t xml:space="preserve">  The</w:t>
      </w:r>
      <w:r w:rsidR="008B4690">
        <w:t xml:space="preserve"> expanded definition would increase the cost of construction and other public work contracts entered into by the State and local governments.</w:t>
      </w:r>
    </w:p>
    <w:p w:rsidR="00C11BBD" w:rsidRDefault="00C11BBD" w:rsidP="00EF17BC">
      <w:pPr>
        <w:tabs>
          <w:tab w:val="left" w:pos="360"/>
          <w:tab w:val="left" w:pos="720"/>
          <w:tab w:val="left" w:pos="1440"/>
          <w:tab w:val="left" w:pos="2160"/>
          <w:tab w:val="left" w:pos="2880"/>
          <w:tab w:val="left" w:pos="3600"/>
          <w:tab w:val="left" w:pos="4320"/>
          <w:tab w:val="left" w:pos="5040"/>
        </w:tabs>
      </w:pPr>
      <w:r>
        <w:tab/>
      </w:r>
      <w:r w:rsidR="00211667">
        <w:t>Although</w:t>
      </w:r>
      <w:r w:rsidRPr="00C11BBD">
        <w:t xml:space="preserve"> the OLS lacks sufficient information to estimate the impact of the bill, it is worth noting that according to the Division of Property Management and Construction in the Department of the Treasury, as of July 2012, the State had 291 leases in New Jersey comprising approximately 7.6 million square feet of office space and 1.9 million square feet for other State uses.</w:t>
      </w:r>
    </w:p>
    <w:p w:rsidR="00C11BBD" w:rsidRDefault="00C11BBD" w:rsidP="00EF17BC"/>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8199E"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78199E" w:rsidRDefault="0078199E" w:rsidP="00EF17BC">
            <w:pPr>
              <w:pStyle w:val="10pointItalics"/>
            </w:pPr>
            <w:bookmarkStart w:id="2" w:name="UserFullName"/>
            <w:bookmarkEnd w:id="2"/>
            <w:r>
              <w:t xml:space="preserve">Juan C. Rodriguez </w:t>
            </w:r>
          </w:p>
          <w:p w:rsidR="00EF17BC" w:rsidRDefault="0078199E" w:rsidP="00EF17B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01686" w:rsidRDefault="00201686" w:rsidP="00EF17BC">
      <w:pPr>
        <w:spacing w:line="287" w:lineRule="atLeast"/>
      </w:pPr>
    </w:p>
    <w:p w:rsidR="00EF17BC" w:rsidRDefault="009230D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230D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201686">
      <w:headerReference w:type="default" r:id="rId7"/>
      <w:footerReference w:type="first" r:id="rId8"/>
      <w:pgSz w:w="12240" w:h="20160" w:code="5"/>
      <w:pgMar w:top="1440" w:right="1440" w:bottom="180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A9F" w:rsidRDefault="00FC4A9F">
      <w:r>
        <w:separator/>
      </w:r>
    </w:p>
  </w:endnote>
  <w:endnote w:type="continuationSeparator" w:id="0">
    <w:p w:rsidR="00FC4A9F" w:rsidRDefault="00FC4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911C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49670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A9F" w:rsidRDefault="00FC4A9F">
      <w:r>
        <w:separator/>
      </w:r>
    </w:p>
  </w:footnote>
  <w:footnote w:type="continuationSeparator" w:id="0">
    <w:p w:rsidR="00FC4A9F" w:rsidRDefault="00FC4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0DA" w:rsidRDefault="009230DA" w:rsidP="009230DA">
    <w:pPr>
      <w:pStyle w:val="Header"/>
      <w:jc w:val="center"/>
    </w:pPr>
    <w:r>
      <w:t xml:space="preserve">FE to </w:t>
    </w:r>
    <w:r w:rsidR="0046554F">
      <w:t xml:space="preserve">ACS for </w:t>
    </w:r>
    <w:r>
      <w:t>A</w:t>
    </w:r>
    <w:r w:rsidR="00201686">
      <w:t>1571</w:t>
    </w:r>
  </w:p>
  <w:p w:rsidR="009230DA" w:rsidRDefault="009230DA" w:rsidP="009230DA">
    <w:pPr>
      <w:pStyle w:val="Header"/>
      <w:jc w:val="center"/>
    </w:pPr>
    <w:r>
      <w:fldChar w:fldCharType="begin"/>
    </w:r>
    <w:r>
      <w:instrText xml:space="preserve"> PAGE  \* MERGEFORMAT </w:instrText>
    </w:r>
    <w:r>
      <w:fldChar w:fldCharType="separate"/>
    </w:r>
    <w:r w:rsidR="007911CA">
      <w:rPr>
        <w:noProof/>
      </w:rPr>
      <w:t>2</w:t>
    </w:r>
    <w:r>
      <w:fldChar w:fldCharType="end"/>
    </w:r>
  </w:p>
  <w:p w:rsidR="009230DA" w:rsidRDefault="009230DA" w:rsidP="009230D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5624FA"/>
    <w:multiLevelType w:val="hybridMultilevel"/>
    <w:tmpl w:val="8EA83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C1B4A8A"/>
    <w:multiLevelType w:val="hybridMultilevel"/>
    <w:tmpl w:val="875EA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0DA"/>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57A1"/>
    <w:rsid w:val="000E05F0"/>
    <w:rsid w:val="000E08DD"/>
    <w:rsid w:val="000E17DB"/>
    <w:rsid w:val="000F0A12"/>
    <w:rsid w:val="000F231D"/>
    <w:rsid w:val="000F278B"/>
    <w:rsid w:val="000F2B57"/>
    <w:rsid w:val="001106B5"/>
    <w:rsid w:val="00114591"/>
    <w:rsid w:val="00115411"/>
    <w:rsid w:val="001223E7"/>
    <w:rsid w:val="00125D26"/>
    <w:rsid w:val="00142AE8"/>
    <w:rsid w:val="00145CE4"/>
    <w:rsid w:val="00154410"/>
    <w:rsid w:val="00157AED"/>
    <w:rsid w:val="00172CF5"/>
    <w:rsid w:val="001907A1"/>
    <w:rsid w:val="00193C26"/>
    <w:rsid w:val="00194789"/>
    <w:rsid w:val="00197240"/>
    <w:rsid w:val="001B1D4B"/>
    <w:rsid w:val="001B2BA9"/>
    <w:rsid w:val="001D0C90"/>
    <w:rsid w:val="001D3FD4"/>
    <w:rsid w:val="001F4F8B"/>
    <w:rsid w:val="00201322"/>
    <w:rsid w:val="00201686"/>
    <w:rsid w:val="00202BAC"/>
    <w:rsid w:val="00203C53"/>
    <w:rsid w:val="00210E60"/>
    <w:rsid w:val="00211667"/>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6058"/>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44EF"/>
    <w:rsid w:val="003A064F"/>
    <w:rsid w:val="003A5E75"/>
    <w:rsid w:val="003B66B0"/>
    <w:rsid w:val="003C0188"/>
    <w:rsid w:val="003C23FD"/>
    <w:rsid w:val="003C5892"/>
    <w:rsid w:val="003C6FD3"/>
    <w:rsid w:val="003D4453"/>
    <w:rsid w:val="003D461A"/>
    <w:rsid w:val="00407C9E"/>
    <w:rsid w:val="0041022E"/>
    <w:rsid w:val="004149CC"/>
    <w:rsid w:val="004424F4"/>
    <w:rsid w:val="00451008"/>
    <w:rsid w:val="0046554F"/>
    <w:rsid w:val="00485323"/>
    <w:rsid w:val="00487ED8"/>
    <w:rsid w:val="004911CB"/>
    <w:rsid w:val="00491685"/>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55E8A"/>
    <w:rsid w:val="006671C7"/>
    <w:rsid w:val="0067024D"/>
    <w:rsid w:val="00675E42"/>
    <w:rsid w:val="006917CF"/>
    <w:rsid w:val="00692BD4"/>
    <w:rsid w:val="006B22F3"/>
    <w:rsid w:val="006B2FD5"/>
    <w:rsid w:val="006B5C2D"/>
    <w:rsid w:val="006B6C16"/>
    <w:rsid w:val="006D6F6C"/>
    <w:rsid w:val="006F239A"/>
    <w:rsid w:val="006F505D"/>
    <w:rsid w:val="006F5396"/>
    <w:rsid w:val="006F7203"/>
    <w:rsid w:val="00722AEF"/>
    <w:rsid w:val="007254D9"/>
    <w:rsid w:val="00737A6C"/>
    <w:rsid w:val="00743F01"/>
    <w:rsid w:val="00744AE4"/>
    <w:rsid w:val="007636E2"/>
    <w:rsid w:val="00763D60"/>
    <w:rsid w:val="00776BB1"/>
    <w:rsid w:val="0078199E"/>
    <w:rsid w:val="007833B1"/>
    <w:rsid w:val="007911CA"/>
    <w:rsid w:val="007920AC"/>
    <w:rsid w:val="00794CF3"/>
    <w:rsid w:val="007A0F7E"/>
    <w:rsid w:val="007A42C5"/>
    <w:rsid w:val="007A65A1"/>
    <w:rsid w:val="007B1FCF"/>
    <w:rsid w:val="007C4620"/>
    <w:rsid w:val="007E337B"/>
    <w:rsid w:val="007E5EB3"/>
    <w:rsid w:val="00804E41"/>
    <w:rsid w:val="00811BC0"/>
    <w:rsid w:val="008231E8"/>
    <w:rsid w:val="008266B7"/>
    <w:rsid w:val="00844C35"/>
    <w:rsid w:val="00854B89"/>
    <w:rsid w:val="00855555"/>
    <w:rsid w:val="00881BED"/>
    <w:rsid w:val="00881EF3"/>
    <w:rsid w:val="00883E7C"/>
    <w:rsid w:val="00886261"/>
    <w:rsid w:val="00887E08"/>
    <w:rsid w:val="00894971"/>
    <w:rsid w:val="008B4690"/>
    <w:rsid w:val="008C0341"/>
    <w:rsid w:val="008D5731"/>
    <w:rsid w:val="008D75F6"/>
    <w:rsid w:val="008E1349"/>
    <w:rsid w:val="009230DA"/>
    <w:rsid w:val="00927397"/>
    <w:rsid w:val="009352CA"/>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2698"/>
    <w:rsid w:val="00A051E3"/>
    <w:rsid w:val="00A05A06"/>
    <w:rsid w:val="00A164F2"/>
    <w:rsid w:val="00A26FCF"/>
    <w:rsid w:val="00A31FA5"/>
    <w:rsid w:val="00A34F8C"/>
    <w:rsid w:val="00A359DA"/>
    <w:rsid w:val="00A37886"/>
    <w:rsid w:val="00A63176"/>
    <w:rsid w:val="00A70D0C"/>
    <w:rsid w:val="00A9794C"/>
    <w:rsid w:val="00AB0440"/>
    <w:rsid w:val="00AC3FC5"/>
    <w:rsid w:val="00AD01D2"/>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76C0"/>
    <w:rsid w:val="00BF47F9"/>
    <w:rsid w:val="00C07688"/>
    <w:rsid w:val="00C11BBD"/>
    <w:rsid w:val="00C260AB"/>
    <w:rsid w:val="00C26381"/>
    <w:rsid w:val="00C26697"/>
    <w:rsid w:val="00C32933"/>
    <w:rsid w:val="00C3314D"/>
    <w:rsid w:val="00C61148"/>
    <w:rsid w:val="00C75246"/>
    <w:rsid w:val="00C80B0B"/>
    <w:rsid w:val="00C91EDF"/>
    <w:rsid w:val="00C97447"/>
    <w:rsid w:val="00CC6622"/>
    <w:rsid w:val="00CF6F4A"/>
    <w:rsid w:val="00D20F5D"/>
    <w:rsid w:val="00D376ED"/>
    <w:rsid w:val="00D40E4F"/>
    <w:rsid w:val="00D638D0"/>
    <w:rsid w:val="00D67A0A"/>
    <w:rsid w:val="00D713FB"/>
    <w:rsid w:val="00D734B9"/>
    <w:rsid w:val="00D762A6"/>
    <w:rsid w:val="00D762BF"/>
    <w:rsid w:val="00D84564"/>
    <w:rsid w:val="00D958CF"/>
    <w:rsid w:val="00D968A7"/>
    <w:rsid w:val="00DB0A15"/>
    <w:rsid w:val="00DC2149"/>
    <w:rsid w:val="00DC789F"/>
    <w:rsid w:val="00DD3C40"/>
    <w:rsid w:val="00DD7275"/>
    <w:rsid w:val="00DE1C6C"/>
    <w:rsid w:val="00DE47C2"/>
    <w:rsid w:val="00DE5037"/>
    <w:rsid w:val="00DF054C"/>
    <w:rsid w:val="00DF3361"/>
    <w:rsid w:val="00DF65C1"/>
    <w:rsid w:val="00E008A4"/>
    <w:rsid w:val="00E042C5"/>
    <w:rsid w:val="00E06D7C"/>
    <w:rsid w:val="00E21963"/>
    <w:rsid w:val="00E22D9A"/>
    <w:rsid w:val="00E262A3"/>
    <w:rsid w:val="00E304B9"/>
    <w:rsid w:val="00E32D2F"/>
    <w:rsid w:val="00E43498"/>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78A"/>
    <w:rsid w:val="00F45BA7"/>
    <w:rsid w:val="00F51DD4"/>
    <w:rsid w:val="00F64D56"/>
    <w:rsid w:val="00F73621"/>
    <w:rsid w:val="00F82B11"/>
    <w:rsid w:val="00F873F0"/>
    <w:rsid w:val="00FA6D2B"/>
    <w:rsid w:val="00FB15DB"/>
    <w:rsid w:val="00FC20F0"/>
    <w:rsid w:val="00FC4A9F"/>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A9A4BF4-C1BB-4ECF-826B-A52B596FB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551</Words>
  <Characters>2988</Characters>
  <Application>Microsoft Office Word</Application>
  <DocSecurity>0</DocSecurity>
  <Lines>87</Lines>
  <Paragraphs>40</Paragraphs>
  <ScaleCrop>false</ScaleCrop>
  <HeadingPairs>
    <vt:vector size="2" baseType="variant">
      <vt:variant>
        <vt:lpstr>Title</vt:lpstr>
      </vt:variant>
      <vt:variant>
        <vt:i4>1</vt:i4>
      </vt:variant>
    </vt:vector>
  </HeadingPairs>
  <TitlesOfParts>
    <vt:vector size="1" baseType="lpstr">
      <vt:lpstr>A1571/1576 [ACS]  FISCAL ESTIMATE</vt:lpstr>
    </vt:vector>
  </TitlesOfParts>
  <Manager>Juan C. Rodriguez; R230</Manager>
  <Company>Office of Legislative Services</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A1571 A1576 ACS  FISCAL ESTIMATE</dc:title>
  <dc:creator>Assemblyman HOUGHTALING Assemblyman EGAN</dc:creator>
  <cp:keywords>A1571|2|CL |289|279|311|!||</cp:keywords>
  <dc:description>sponsor 2/17 BPU 2/22</dc:description>
  <cp:lastModifiedBy>Bektas, Brenda</cp:lastModifiedBy>
  <cp:revision>2</cp:revision>
  <dcterms:created xsi:type="dcterms:W3CDTF">2021-02-22T15:58:00Z</dcterms:created>
  <dcterms:modified xsi:type="dcterms:W3CDTF">2021-02-22T15:58:00Z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