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FB5" w:rsidRDefault="00050FB5" w:rsidP="00050FB5">
      <w:pPr>
        <w:pStyle w:val="bpuBill"/>
      </w:pPr>
      <w:bookmarkStart w:id="0" w:name="bpuFrontPg"/>
      <w:bookmarkStart w:id="1" w:name="_GoBack"/>
      <w:bookmarkEnd w:id="0"/>
      <w:bookmarkEnd w:id="1"/>
      <w:r>
        <w:t xml:space="preserve">ASSEMBLY, No. 1574 </w:t>
      </w:r>
    </w:p>
    <w:p w:rsidR="00050FB5" w:rsidRPr="00050FB5" w:rsidRDefault="00050FB5" w:rsidP="00050F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053" r:id="rId8"/>
        </w:object>
      </w:r>
    </w:p>
    <w:p w:rsidR="00050FB5" w:rsidRDefault="00050FB5" w:rsidP="00050FB5">
      <w:pPr>
        <w:pStyle w:val="bpuState"/>
      </w:pPr>
      <w:r>
        <w:t>STATE OF NEW JERSEY</w:t>
      </w:r>
    </w:p>
    <w:p w:rsidR="00050FB5" w:rsidRDefault="00050FB5" w:rsidP="00050FB5">
      <w:pPr>
        <w:pStyle w:val="bpuLegislature"/>
      </w:pPr>
      <w:r>
        <w:t>219th LEGISLATURE</w:t>
      </w:r>
    </w:p>
    <w:p w:rsidR="00050FB5" w:rsidRDefault="00050FB5" w:rsidP="00050FB5">
      <w:pPr>
        <w:pStyle w:val="bpuWpGraphic"/>
      </w:pPr>
      <w:r>
        <w:object w:dxaOrig="8985" w:dyaOrig="255">
          <v:shape id="_x0000_i1026" type="#_x0000_t75" style="width:6in;height:12pt" o:ole="">
            <v:imagedata r:id="rId7" o:title=""/>
          </v:shape>
          <o:OLEObject Type="Embed" ProgID="WPWin6.1" ShapeID="_x0000_i1026" DrawAspect="Content" ObjectID="_1640091054" r:id="rId9"/>
        </w:object>
      </w:r>
      <w:r>
        <w:t xml:space="preserve">  </w:t>
      </w:r>
    </w:p>
    <w:p w:rsidR="00050FB5" w:rsidRDefault="00050FB5" w:rsidP="00050FB5">
      <w:pPr>
        <w:pStyle w:val="bpuIntro"/>
      </w:pPr>
      <w:r>
        <w:t>PRE-FILED FOR INTRODUCTION IN THE 2020 SESSION</w:t>
      </w:r>
    </w:p>
    <w:p w:rsidR="00050FB5" w:rsidRDefault="00050FB5" w:rsidP="00050FB5">
      <w:pPr>
        <w:pStyle w:val="bpuIntro"/>
      </w:pPr>
    </w:p>
    <w:p w:rsidR="00050FB5" w:rsidRDefault="00050FB5" w:rsidP="00050FB5">
      <w:pPr>
        <w:pStyle w:val="bpuIntro"/>
        <w:sectPr w:rsidR="00050FB5" w:rsidSect="00050FB5">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050FB5" w:rsidRDefault="00050FB5" w:rsidP="00050FB5">
      <w:pPr>
        <w:pStyle w:val="bpuIntro"/>
      </w:pPr>
    </w:p>
    <w:p w:rsidR="00050FB5" w:rsidRDefault="00050FB5" w:rsidP="00050FB5">
      <w:pPr>
        <w:pStyle w:val="bpuSponsor"/>
      </w:pPr>
      <w:r>
        <w:t>Sponsored by:</w:t>
      </w:r>
    </w:p>
    <w:p w:rsidR="00050FB5" w:rsidRDefault="00050FB5" w:rsidP="00050FB5">
      <w:pPr>
        <w:pStyle w:val="bpuSponsor"/>
      </w:pPr>
      <w:r>
        <w:t>Assemblyman  ERIC HOUGHTALING</w:t>
      </w:r>
    </w:p>
    <w:p w:rsidR="00050FB5" w:rsidRDefault="00050FB5" w:rsidP="00050FB5">
      <w:pPr>
        <w:pStyle w:val="bpuSponsor"/>
      </w:pPr>
      <w:r>
        <w:t>District 11 (Monmouth)</w:t>
      </w:r>
    </w:p>
    <w:p w:rsidR="00050FB5" w:rsidRDefault="00050FB5" w:rsidP="00050FB5">
      <w:pPr>
        <w:pStyle w:val="bpuSponsor"/>
      </w:pPr>
      <w:r>
        <w:t>Assemblywoman  JOANN DOWNEY</w:t>
      </w:r>
    </w:p>
    <w:p w:rsidR="00050FB5" w:rsidRDefault="00050FB5" w:rsidP="00050FB5">
      <w:pPr>
        <w:pStyle w:val="bpuSponsor"/>
      </w:pPr>
      <w:r>
        <w:t>District 11 (Monmouth)</w:t>
      </w:r>
    </w:p>
    <w:p w:rsidR="00050FB5" w:rsidRDefault="00050FB5" w:rsidP="00050FB5">
      <w:pPr>
        <w:pStyle w:val="bpuSponsor"/>
      </w:pPr>
    </w:p>
    <w:p w:rsidR="00050FB5" w:rsidRDefault="00050FB5" w:rsidP="00050FB5">
      <w:pPr>
        <w:pStyle w:val="bpuSponsor"/>
      </w:pPr>
      <w:r>
        <w:t>Co-Sponsored by:</w:t>
      </w:r>
    </w:p>
    <w:p w:rsidR="00050FB5" w:rsidRPr="00050FB5" w:rsidRDefault="00050FB5" w:rsidP="00050FB5">
      <w:pPr>
        <w:pStyle w:val="bpuSponsor"/>
      </w:pPr>
      <w:r w:rsidRPr="00050FB5">
        <w:t>Assemblyman McGuckin, Assemblywoman Murphy, Assemblyman Rooney, Assemblywoman McKnight, Assemblyman Chiaravalloti and Assemblywoman DiMaso</w:t>
      </w:r>
    </w:p>
    <w:p w:rsidR="00050FB5" w:rsidRDefault="00050FB5" w:rsidP="00050FB5">
      <w:pPr>
        <w:pStyle w:val="bpuSponsor"/>
      </w:pPr>
    </w:p>
    <w:p w:rsidR="00050FB5" w:rsidRDefault="00050FB5" w:rsidP="00050FB5"/>
    <w:p w:rsidR="00050FB5" w:rsidRPr="00050FB5" w:rsidRDefault="00050FB5" w:rsidP="00050FB5"/>
    <w:p w:rsidR="00050FB5" w:rsidRDefault="00050FB5" w:rsidP="00050FB5">
      <w:pPr>
        <w:pStyle w:val="bpuSponsor"/>
      </w:pPr>
    </w:p>
    <w:p w:rsidR="00050FB5" w:rsidRDefault="00050FB5" w:rsidP="00050FB5">
      <w:pPr>
        <w:pStyle w:val="bpuSponsor"/>
      </w:pPr>
      <w:r>
        <w:t>SYNOPSIS</w:t>
      </w:r>
    </w:p>
    <w:p w:rsidR="00050FB5" w:rsidRDefault="00050FB5" w:rsidP="00050FB5">
      <w:pPr>
        <w:pStyle w:val="bpuNormText"/>
      </w:pPr>
      <w:r>
        <w:tab/>
        <w:t xml:space="preserve">Imposes motor vehicle penalty points for certain violations of “move over law”; establishes public awareness campaign; designated as “Slow Down or Move Over, It’s the Law Act.” </w:t>
      </w:r>
    </w:p>
    <w:p w:rsidR="00050FB5" w:rsidRDefault="00050FB5" w:rsidP="00050FB5">
      <w:pPr>
        <w:pStyle w:val="bpuNormText"/>
      </w:pPr>
    </w:p>
    <w:p w:rsidR="00050FB5" w:rsidRDefault="00050FB5" w:rsidP="00050FB5">
      <w:pPr>
        <w:pStyle w:val="bpuSponsor"/>
      </w:pPr>
      <w:r>
        <w:t xml:space="preserve">CURRENT VERSION OF TEXT </w:t>
      </w:r>
    </w:p>
    <w:p w:rsidR="00050FB5" w:rsidRDefault="00050FB5" w:rsidP="00050FB5">
      <w:pPr>
        <w:pStyle w:val="bpuNormText"/>
      </w:pPr>
      <w:r>
        <w:tab/>
        <w:t>Introduced Pending Technical Review by Legislative Counsel.</w:t>
      </w:r>
    </w:p>
    <w:p w:rsidR="00050FB5" w:rsidRDefault="00050FB5" w:rsidP="00050F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0FB5" w:rsidRDefault="00050F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0FB5" w:rsidSect="00050FB5">
          <w:type w:val="continuous"/>
          <w:pgSz w:w="12240" w:h="20160" w:code="5"/>
          <w:pgMar w:top="2160" w:right="2275" w:bottom="1440" w:left="2275" w:header="72" w:footer="720" w:gutter="0"/>
          <w:pgNumType w:start="1"/>
          <w:cols w:space="720"/>
          <w:docGrid w:linePitch="360"/>
        </w:sectPr>
      </w:pPr>
    </w:p>
    <w:p w:rsidR="008B0A78" w:rsidRPr="00096D6F" w:rsidRDefault="008B0A78" w:rsidP="008B0A78">
      <w:pPr>
        <w:pStyle w:val="HangingAnAct"/>
      </w:pPr>
      <w:r w:rsidRPr="008B0A78">
        <w:rPr>
          <w:rStyle w:val="BillHead"/>
        </w:rPr>
        <w:lastRenderedPageBreak/>
        <w:t>An Act</w:t>
      </w:r>
      <w:r w:rsidRPr="00096D6F">
        <w:t xml:space="preserve"> con</w:t>
      </w:r>
      <w:r w:rsidR="008A5B5A">
        <w:t>cerning motor vehicle penalties</w:t>
      </w:r>
      <w:r w:rsidRPr="00096D6F">
        <w:t xml:space="preserve">, designated as the “Slow Down or Move Over, It’s the Law Act,” and amending and supplementing P.L.2009, c.5.  </w:t>
      </w:r>
    </w:p>
    <w:p w:rsidR="008B0A78" w:rsidRPr="00D71D68" w:rsidRDefault="008B0A78" w:rsidP="008B0A78"/>
    <w:p w:rsidR="008B0A78" w:rsidRDefault="008B0A78" w:rsidP="008B0A78">
      <w:pPr>
        <w:rPr>
          <w:rStyle w:val="BillLanguage"/>
        </w:rPr>
      </w:pPr>
      <w:r>
        <w:tab/>
      </w:r>
      <w:r>
        <w:rPr>
          <w:rStyle w:val="BillHeading2"/>
        </w:rPr>
        <w:t xml:space="preserve">Be It Enacted </w:t>
      </w:r>
      <w:r>
        <w:rPr>
          <w:rStyle w:val="BillLanguage"/>
        </w:rPr>
        <w:t>by the Senate and General Assembly of the State of New Jersey:</w:t>
      </w:r>
    </w:p>
    <w:p w:rsidR="008B0A78" w:rsidRDefault="008B0A78" w:rsidP="008B0A78">
      <w:pPr>
        <w:rPr>
          <w:rStyle w:val="BillLanguage"/>
        </w:rPr>
      </w:pP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D6F">
        <w:rPr>
          <w:spacing w:val="0"/>
        </w:rPr>
        <w:tab/>
        <w:t>1.</w:t>
      </w:r>
      <w:r w:rsidRPr="00096D6F">
        <w:rPr>
          <w:spacing w:val="0"/>
        </w:rPr>
        <w:tab/>
        <w:t xml:space="preserve">Section 1 of P.L.2009, c.5 (C.39:4-92.2) is amended to read as follows:  </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D6F">
        <w:rPr>
          <w:spacing w:val="0"/>
        </w:rPr>
        <w:tab/>
        <w:t>1.</w:t>
      </w:r>
      <w:r w:rsidRPr="00096D6F">
        <w:rPr>
          <w:spacing w:val="0"/>
        </w:rPr>
        <w:tab/>
        <w:t>a.  The operator of a motor vehicle approaching a stationary authorized emergency vehicle as defined in R.S.39:1-1 that is displaying a flashing, blinking</w:t>
      </w:r>
      <w:r w:rsidRPr="00096D6F">
        <w:rPr>
          <w:spacing w:val="0"/>
          <w:u w:val="single"/>
        </w:rPr>
        <w:t>,</w:t>
      </w:r>
      <w:r w:rsidRPr="00096D6F">
        <w:rPr>
          <w:spacing w:val="0"/>
        </w:rPr>
        <w:t xml:space="preserve"> or alternating red or blue light </w:t>
      </w:r>
      <w:r w:rsidRPr="00096D6F">
        <w:rPr>
          <w:spacing w:val="0"/>
          <w:u w:val="single"/>
        </w:rPr>
        <w:t>,</w:t>
      </w:r>
      <w:r w:rsidRPr="00096D6F">
        <w:rPr>
          <w:spacing w:val="0"/>
        </w:rPr>
        <w:t xml:space="preserve"> or </w:t>
      </w:r>
      <w:r w:rsidRPr="00096D6F">
        <w:rPr>
          <w:rFonts w:ascii="Albertus Extra Bold" w:hAnsi="Albertus Extra Bold"/>
          <w:b/>
        </w:rPr>
        <w:t>[</w:t>
      </w:r>
      <w:r w:rsidRPr="00096D6F">
        <w:rPr>
          <w:spacing w:val="0"/>
        </w:rPr>
        <w:t>,</w:t>
      </w:r>
      <w:r w:rsidRPr="00096D6F">
        <w:rPr>
          <w:rFonts w:ascii="Albertus Extra Bold" w:hAnsi="Albertus Extra Bold"/>
          <w:b/>
        </w:rPr>
        <w:t>]</w:t>
      </w:r>
      <w:r w:rsidRPr="00096D6F">
        <w:rPr>
          <w:spacing w:val="0"/>
        </w:rPr>
        <w:t xml:space="preserve"> any configuration of lights containing one of these colors, shall approach the authorized emergency vehicle with due caution and shall, absent any other direction by a law enforcement officer, proceed as follows: </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D6F">
        <w:rPr>
          <w:spacing w:val="0"/>
        </w:rPr>
        <w:tab/>
        <w:t>(1)</w:t>
      </w:r>
      <w:r w:rsidRPr="00096D6F">
        <w:rPr>
          <w:spacing w:val="0"/>
        </w:rPr>
        <w:tab/>
        <w:t>Make a lane change into a lane not adjacent to the authorized emergency vehicle if possible in the existing safety and traffic conditions; or</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D6F">
        <w:rPr>
          <w:spacing w:val="0"/>
        </w:rPr>
        <w:tab/>
        <w:t>(2)</w:t>
      </w:r>
      <w:r w:rsidRPr="00096D6F">
        <w:rPr>
          <w:spacing w:val="0"/>
        </w:rPr>
        <w:tab/>
        <w:t>If a lane change pursuant to paragraph (1) of subsection a. of this section would be impossible, prohibited by law or unsafe, reduce the speed of the motor vehicle to a reasonable and proper speed for the existing road and traffic conditions, which speed shall be less than the posted speed limit, and be prepared to stop.</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D6F">
        <w:rPr>
          <w:spacing w:val="0"/>
        </w:rPr>
        <w:tab/>
        <w:t>b.</w:t>
      </w:r>
      <w:r w:rsidRPr="00096D6F">
        <w:rPr>
          <w:spacing w:val="0"/>
        </w:rPr>
        <w:tab/>
        <w:t>The operator of a motor vehicle approaching a stationary tow truck as defined in section 1 of P.L.1999, c.396 (C.39:3-84.6) that is displaying a flashing amber light, a stationary highway maintenance or emergency service vehicle that is operated by the State, an authority</w:t>
      </w:r>
      <w:r w:rsidRPr="00096D6F">
        <w:rPr>
          <w:spacing w:val="0"/>
          <w:u w:val="single"/>
        </w:rPr>
        <w:t>,</w:t>
      </w:r>
      <w:r w:rsidRPr="00096D6F">
        <w:rPr>
          <w:spacing w:val="0"/>
        </w:rPr>
        <w:t xml:space="preserve"> or a county or municipality and displaying flashing yellow, amber, or red lights, or a stationary sanitation vehicle displaying a flashing amber warning light pursuant to section 1 of P.L.2011, c.3 (C.39:3-54.27) shall approach the vehicle with due caution and shall, absent any other direction by a law enforcement officer, proceed as follows: </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D6F">
        <w:rPr>
          <w:spacing w:val="0"/>
        </w:rPr>
        <w:tab/>
        <w:t>(1)</w:t>
      </w:r>
      <w:r w:rsidRPr="00096D6F">
        <w:rPr>
          <w:spacing w:val="0"/>
        </w:rPr>
        <w:tab/>
        <w:t xml:space="preserve">Make a lane change into a lane not adjacent to the tow truck, highway maintenance or emergency service vehicle, or sanitation vehicle if possible in the existing safety and traffic conditions; or </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D6F">
        <w:rPr>
          <w:spacing w:val="0"/>
        </w:rPr>
        <w:tab/>
        <w:t>(2)</w:t>
      </w:r>
      <w:r w:rsidRPr="00096D6F">
        <w:rPr>
          <w:spacing w:val="0"/>
        </w:rPr>
        <w:tab/>
        <w:t xml:space="preserve">If a lane change under paragraph (1) of subsection b. of this section would be impossible, prohibited by law or unsafe, reduce the speed of the motor vehicle to a reasonable and proper speed for the existing road and traffic conditions, which speed shall be less than the posted speed limit, and be prepared to stop. </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96D6F">
        <w:rPr>
          <w:spacing w:val="0"/>
        </w:rPr>
        <w:tab/>
        <w:t>c.</w:t>
      </w:r>
      <w:r w:rsidRPr="00096D6F">
        <w:rPr>
          <w:spacing w:val="0"/>
        </w:rPr>
        <w:tab/>
        <w:t xml:space="preserve">A </w:t>
      </w:r>
      <w:r w:rsidRPr="00096D6F">
        <w:rPr>
          <w:rFonts w:ascii="Albertus Extra Bold" w:hAnsi="Albertus Extra Bold"/>
          <w:b/>
          <w:spacing w:val="0"/>
        </w:rPr>
        <w:t>[</w:t>
      </w:r>
      <w:r w:rsidRPr="00096D6F">
        <w:rPr>
          <w:spacing w:val="0"/>
        </w:rPr>
        <w:t>violation of</w:t>
      </w:r>
      <w:r w:rsidRPr="00096D6F">
        <w:rPr>
          <w:rFonts w:ascii="Albertus Extra Bold" w:hAnsi="Albertus Extra Bold"/>
          <w:b/>
          <w:spacing w:val="0"/>
        </w:rPr>
        <w:t>]</w:t>
      </w:r>
      <w:r w:rsidRPr="00096D6F">
        <w:rPr>
          <w:spacing w:val="0"/>
        </w:rPr>
        <w:t xml:space="preserve"> </w:t>
      </w:r>
      <w:r w:rsidRPr="00096D6F">
        <w:rPr>
          <w:spacing w:val="0"/>
          <w:u w:val="single"/>
        </w:rPr>
        <w:t>person who violates</w:t>
      </w:r>
      <w:r w:rsidRPr="00096D6F">
        <w:rPr>
          <w:spacing w:val="0"/>
        </w:rPr>
        <w:t xml:space="preserve"> this section shall be </w:t>
      </w:r>
      <w:r w:rsidRPr="00096D6F">
        <w:rPr>
          <w:rFonts w:ascii="Albertus Extra Bold" w:hAnsi="Albertus Extra Bold"/>
          <w:b/>
          <w:spacing w:val="0"/>
        </w:rPr>
        <w:t>[</w:t>
      </w:r>
      <w:r w:rsidRPr="00096D6F">
        <w:rPr>
          <w:spacing w:val="0"/>
        </w:rPr>
        <w:t>punished by a fine of</w:t>
      </w:r>
      <w:r w:rsidRPr="00096D6F">
        <w:rPr>
          <w:rFonts w:ascii="Albertus Extra Bold" w:hAnsi="Albertus Extra Bold"/>
          <w:b/>
          <w:spacing w:val="0"/>
        </w:rPr>
        <w:t>]</w:t>
      </w:r>
      <w:r w:rsidRPr="00096D6F">
        <w:rPr>
          <w:spacing w:val="0"/>
        </w:rPr>
        <w:t xml:space="preserve"> </w:t>
      </w:r>
      <w:r w:rsidRPr="00096D6F">
        <w:rPr>
          <w:spacing w:val="0"/>
          <w:u w:val="single"/>
        </w:rPr>
        <w:t>fined</w:t>
      </w:r>
      <w:r w:rsidRPr="00096D6F">
        <w:rPr>
          <w:spacing w:val="0"/>
        </w:rPr>
        <w:t xml:space="preserve"> not less than $100 and not more than $500 </w:t>
      </w:r>
      <w:r w:rsidRPr="00096D6F">
        <w:rPr>
          <w:spacing w:val="0"/>
          <w:u w:val="single"/>
        </w:rPr>
        <w:t xml:space="preserve">. </w:t>
      </w:r>
    </w:p>
    <w:p w:rsidR="008B0A78" w:rsidRPr="00846D45"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096D6F">
        <w:rPr>
          <w:spacing w:val="0"/>
        </w:rPr>
        <w:lastRenderedPageBreak/>
        <w:tab/>
      </w:r>
      <w:r w:rsidRPr="00846D45">
        <w:rPr>
          <w:spacing w:val="0"/>
          <w:u w:val="single"/>
        </w:rPr>
        <w:t>In addition to the fine imposed pursuant to this subsection, a person convicted of three or more offenses under this section that occur within a 12-month period shall be assessed two motor vehicle penalty points pursuant to section 1 of P.L.1982, c.43  (C.39:5-30.5).</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D6F">
        <w:rPr>
          <w:spacing w:val="0"/>
        </w:rPr>
        <w:tab/>
      </w:r>
      <w:r w:rsidRPr="00096D6F">
        <w:rPr>
          <w:spacing w:val="0"/>
          <w:u w:val="single"/>
        </w:rPr>
        <w:t>A motor vehicle operator shall not be assessed motor vehicle penalty points unless the stationary vehicle is displaying flashing, blinking, or alternating lights in accordance with this section at the time of the third or subsequent violation .</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6D6F">
        <w:rPr>
          <w:spacing w:val="0"/>
        </w:rPr>
        <w:t>(cf:  P.L.2017, c.43, s.2)</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B0A78" w:rsidRPr="00846D45"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6D45">
        <w:rPr>
          <w:spacing w:val="0"/>
        </w:rPr>
        <w:tab/>
        <w:t>2.</w:t>
      </w:r>
      <w:r w:rsidRPr="00846D45">
        <w:rPr>
          <w:spacing w:val="0"/>
        </w:rPr>
        <w:tab/>
        <w:t>The</w:t>
      </w:r>
      <w:r w:rsidR="00846D45" w:rsidRPr="00846D45">
        <w:rPr>
          <w:spacing w:val="0"/>
        </w:rPr>
        <w:t xml:space="preserve"> </w:t>
      </w:r>
      <w:r w:rsidRPr="00846D45">
        <w:rPr>
          <w:spacing w:val="0"/>
        </w:rPr>
        <w:t xml:space="preserve">Director of the </w:t>
      </w:r>
      <w:r w:rsidRPr="00846D45">
        <w:t xml:space="preserve">Division of Highway Traffic Safety in the Department of Law and Public Safety </w:t>
      </w:r>
      <w:r w:rsidRPr="00846D45">
        <w:rPr>
          <w:spacing w:val="0"/>
        </w:rPr>
        <w:t>shall establish a public awareness campaign to inform the general public concerning:</w:t>
      </w:r>
    </w:p>
    <w:p w:rsidR="008B0A78" w:rsidRPr="00846D45"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6D45">
        <w:rPr>
          <w:spacing w:val="0"/>
        </w:rPr>
        <w:tab/>
        <w:t>(1) the importance of motor vehicle operators reducing the speed of their vehicles and changing lanes when approaching an authorized emergency vehicle; tow truck; or highway maintenance, emergency service, or sanitation vehicle that is displaying flashing, blinking, or alternating emergency lights as required pursuant to section 1 of P.L.2009, c.5 (C.39:4-92.2);</w:t>
      </w:r>
    </w:p>
    <w:p w:rsidR="008B0A78" w:rsidRPr="00846D45"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6D45">
        <w:rPr>
          <w:spacing w:val="0"/>
        </w:rPr>
        <w:tab/>
        <w:t>(2) the risks associated with the failure of a motor vehicle operator to comply with the provisions of section 1 of P.L.2009, c.5 (C.39:4-92.2); and</w:t>
      </w:r>
    </w:p>
    <w:p w:rsidR="008B0A78" w:rsidRPr="00846D45"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46D45">
        <w:rPr>
          <w:spacing w:val="0"/>
        </w:rPr>
        <w:tab/>
        <w:t>(3)</w:t>
      </w:r>
      <w:r w:rsidRPr="00846D45">
        <w:rPr>
          <w:spacing w:val="0"/>
        </w:rPr>
        <w:tab/>
        <w:t>the penalties and fines that are imposed on a motor vehicle operator who violates section 1 of P.L.2009, c.5 (C.39:4-92.2).</w:t>
      </w:r>
    </w:p>
    <w:p w:rsidR="008B0A78" w:rsidRPr="00096D6F"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B0A78" w:rsidRPr="00846D45" w:rsidRDefault="008B0A78" w:rsidP="008B0A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rPr>
      </w:pPr>
      <w:r w:rsidRPr="00096D6F">
        <w:rPr>
          <w:spacing w:val="0"/>
        </w:rPr>
        <w:tab/>
      </w:r>
      <w:r w:rsidRPr="00DE0A0A">
        <w:rPr>
          <w:spacing w:val="0"/>
        </w:rPr>
        <w:t>3.</w:t>
      </w:r>
      <w:r w:rsidR="00743353">
        <w:rPr>
          <w:spacing w:val="0"/>
        </w:rPr>
        <w:tab/>
      </w:r>
      <w:r w:rsidRPr="00096D6F">
        <w:rPr>
          <w:spacing w:val="0"/>
        </w:rPr>
        <w:t xml:space="preserve">This act shall take effect </w:t>
      </w:r>
      <w:r w:rsidRPr="00846D45">
        <w:t>on the first day of the eighth month next following the date of enactment</w:t>
      </w:r>
      <w:r w:rsidRPr="00846D45">
        <w:rPr>
          <w:spacing w:val="0"/>
        </w:rPr>
        <w:t>.</w:t>
      </w:r>
    </w:p>
    <w:p w:rsidR="008B0A78" w:rsidRDefault="008B0A78" w:rsidP="008B0A78"/>
    <w:p w:rsidR="009F0FA8" w:rsidRDefault="009F0FA8" w:rsidP="008B0A78"/>
    <w:p w:rsidR="009F0FA8" w:rsidRDefault="009F0FA8" w:rsidP="009F0FA8">
      <w:pPr>
        <w:jc w:val="center"/>
      </w:pPr>
      <w:r>
        <w:t>STATEMENT</w:t>
      </w:r>
    </w:p>
    <w:p w:rsidR="009F0FA8" w:rsidRDefault="009F0FA8" w:rsidP="009F0FA8"/>
    <w:p w:rsidR="009F0FA8" w:rsidRDefault="009F0FA8" w:rsidP="009F0FA8">
      <w:r>
        <w:tab/>
        <w:t xml:space="preserve">This bill requires two motor vehicle penalty points to be assessed when a </w:t>
      </w:r>
      <w:r w:rsidRPr="001E04DD">
        <w:t>motor vehicle o</w:t>
      </w:r>
      <w:r>
        <w:t>perator commits three or more violations under the “move over law” (section 1 of P.L.2009, c.5; C.</w:t>
      </w:r>
      <w:r w:rsidRPr="001E04DD">
        <w:t>39:4-92.2</w:t>
      </w:r>
      <w:r>
        <w:t>) during a 12 month period.  The accumulation of motor vehicle penalty points may result in additional penalties, including the imposition of surcharges and a license suspension.</w:t>
      </w:r>
    </w:p>
    <w:p w:rsidR="009F0FA8" w:rsidRDefault="009F0FA8" w:rsidP="009F0FA8">
      <w:r>
        <w:tab/>
        <w:t xml:space="preserve">Under the “move over law,” </w:t>
      </w:r>
      <w:r w:rsidRPr="001E04DD">
        <w:t>motor vehicle o</w:t>
      </w:r>
      <w:r>
        <w:t xml:space="preserve">perators are required to reduce the speed of </w:t>
      </w:r>
      <w:r w:rsidRPr="001E04DD">
        <w:t>their vehicles and change lanes</w:t>
      </w:r>
      <w:r>
        <w:t xml:space="preserve"> when approaching an authorized emergency vehicle;</w:t>
      </w:r>
      <w:r w:rsidRPr="001E04DD">
        <w:t xml:space="preserve"> tow truck</w:t>
      </w:r>
      <w:r>
        <w:t>;</w:t>
      </w:r>
      <w:r w:rsidRPr="001E04DD">
        <w:t xml:space="preserve"> or h</w:t>
      </w:r>
      <w:r>
        <w:t xml:space="preserve">ighway maintenance, emergency </w:t>
      </w:r>
      <w:r w:rsidRPr="001E04DD">
        <w:t>service</w:t>
      </w:r>
      <w:r>
        <w:t>, or sanitation</w:t>
      </w:r>
      <w:r w:rsidRPr="001E04DD">
        <w:t xml:space="preserve"> vehicle that is displaying fl</w:t>
      </w:r>
      <w:r>
        <w:t xml:space="preserve">ashing, blinking, or alternating </w:t>
      </w:r>
      <w:r w:rsidRPr="001E04DD">
        <w:t>emergency lights.</w:t>
      </w:r>
      <w:r>
        <w:t xml:space="preserve">  Violators are subject to a fine of between $100 and $500,</w:t>
      </w:r>
    </w:p>
    <w:p w:rsidR="009F0FA8" w:rsidRDefault="009F0FA8" w:rsidP="009F0FA8">
      <w:r>
        <w:tab/>
        <w:t>The bill, designated as the “</w:t>
      </w:r>
      <w:r w:rsidRPr="00D333E0">
        <w:t>Slow Down or Move Over, It</w:t>
      </w:r>
      <w:r>
        <w:t xml:space="preserve">’s the Law Act,” imposes two motor vehicle penalty points for a third or subsequent offense that occurs within a 12 month period.  The motor vehicle penalty points are not to be imposed unless the </w:t>
      </w:r>
      <w:r>
        <w:lastRenderedPageBreak/>
        <w:t xml:space="preserve">authorized, stationary vehicle is displaying </w:t>
      </w:r>
      <w:r w:rsidRPr="001E04DD">
        <w:t>fl</w:t>
      </w:r>
      <w:r>
        <w:t xml:space="preserve">ashing, blinking, or alternating </w:t>
      </w:r>
      <w:r w:rsidRPr="001E04DD">
        <w:t>emergency lights</w:t>
      </w:r>
      <w:r>
        <w:t xml:space="preserve"> at the time of the offense.</w:t>
      </w:r>
    </w:p>
    <w:p w:rsidR="009F0FA8" w:rsidRDefault="009F0FA8" w:rsidP="009F0FA8">
      <w:r>
        <w:tab/>
        <w:t xml:space="preserve">The bill also requires the Director of the Division of Highway Traffic Safety to </w:t>
      </w:r>
      <w:r w:rsidRPr="006A18B2">
        <w:t xml:space="preserve">establish a public awareness campaign to inform the general public </w:t>
      </w:r>
      <w:r>
        <w:t>concerning</w:t>
      </w:r>
      <w:r w:rsidRPr="006A18B2">
        <w:t>:</w:t>
      </w:r>
      <w:r>
        <w:t xml:space="preserve"> t</w:t>
      </w:r>
      <w:r w:rsidRPr="006A18B2">
        <w:t xml:space="preserve">he importance of </w:t>
      </w:r>
      <w:r>
        <w:t xml:space="preserve">compliance by </w:t>
      </w:r>
      <w:r w:rsidRPr="006A18B2">
        <w:t xml:space="preserve">motor vehicle operators </w:t>
      </w:r>
      <w:r>
        <w:t>with the section 1 of P.L.2009, c.5; C.</w:t>
      </w:r>
      <w:r w:rsidRPr="001E04DD">
        <w:t>39:4-92.2</w:t>
      </w:r>
      <w:r>
        <w:t>, t</w:t>
      </w:r>
      <w:r w:rsidRPr="006A18B2">
        <w:t xml:space="preserve">he risks associated with the failure of a motor vehicle operator to comply with the </w:t>
      </w:r>
      <w:r>
        <w:t>law, and t</w:t>
      </w:r>
      <w:r w:rsidRPr="006A18B2">
        <w:t xml:space="preserve">he penalties and fines that are imposed on a motor vehicle operator who violates </w:t>
      </w:r>
      <w:r>
        <w:t xml:space="preserve">this law. </w:t>
      </w:r>
    </w:p>
    <w:sectPr w:rsidR="009F0FA8" w:rsidSect="00050FB5">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796" w:rsidRDefault="006C0796">
      <w:r>
        <w:separator/>
      </w:r>
    </w:p>
  </w:endnote>
  <w:endnote w:type="continuationSeparator" w:id="0">
    <w:p w:rsidR="006C0796" w:rsidRDefault="006C0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353" w:rsidRDefault="007433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353" w:rsidRDefault="007433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353" w:rsidRDefault="007433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FB9" w:rsidRPr="00921C91" w:rsidRDefault="001C6F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6FB9" w:rsidRPr="00921C91" w:rsidRDefault="001C6FB9">
    <w:pPr>
      <w:pStyle w:val="Footer"/>
      <w:rPr>
        <w:szCs w:val="18"/>
      </w:rPr>
    </w:pPr>
  </w:p>
  <w:p w:rsidR="001C6FB9" w:rsidRPr="00921C91" w:rsidRDefault="001C6F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6FB9" w:rsidRDefault="001C6FB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796" w:rsidRDefault="006C0796">
      <w:r>
        <w:separator/>
      </w:r>
    </w:p>
  </w:footnote>
  <w:footnote w:type="continuationSeparator" w:id="0">
    <w:p w:rsidR="006C0796" w:rsidRDefault="006C0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7C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353" w:rsidRDefault="007433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0FB5" w:rsidRDefault="00050FB5" w:rsidP="00050FB5">
    <w:pPr>
      <w:pStyle w:val="bpuHeadSpon"/>
    </w:pPr>
    <w:r w:rsidRPr="00050FB5">
      <w:rPr>
        <w:rStyle w:val="bpuHeadSponChar"/>
      </w:rPr>
      <w:t>A1574</w:t>
    </w:r>
    <w:r>
      <w:t xml:space="preserve"> HOUGHTALING, DOWNEY</w:t>
    </w:r>
  </w:p>
  <w:p w:rsidR="00050FB5" w:rsidRDefault="00050FB5" w:rsidP="00050FB5">
    <w:pPr>
      <w:pStyle w:val="bpuHeadSpon"/>
    </w:pPr>
    <w:r>
      <w:fldChar w:fldCharType="begin"/>
    </w:r>
    <w:r>
      <w:instrText xml:space="preserve"> PAGE  \* MERGEFORMAT </w:instrText>
    </w:r>
    <w:r>
      <w:fldChar w:fldCharType="separate"/>
    </w:r>
    <w:r w:rsidR="00607C5E">
      <w:rPr>
        <w:noProof/>
      </w:rPr>
      <w:t>4</w:t>
    </w:r>
    <w:r>
      <w:fldChar w:fldCharType="end"/>
    </w:r>
  </w:p>
  <w:p w:rsidR="00050FB5" w:rsidRPr="00AF575C" w:rsidRDefault="00050FB5" w:rsidP="00050FB5">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0FB5" w:rsidRDefault="00050FB5" w:rsidP="00050FB5">
    <w:pPr>
      <w:pStyle w:val="bpuHeadSpon"/>
    </w:pPr>
    <w:r w:rsidRPr="00050FB5">
      <w:rPr>
        <w:rStyle w:val="bpuHeadSponChar"/>
      </w:rPr>
      <w:t>A1574</w:t>
    </w:r>
    <w:r>
      <w:t xml:space="preserve"> HOUGHTALING, DOWNEY</w:t>
    </w:r>
  </w:p>
  <w:p w:rsidR="00050FB5" w:rsidRDefault="00050FB5" w:rsidP="00050FB5">
    <w:pPr>
      <w:pStyle w:val="bpuHeadSpon"/>
    </w:pPr>
    <w:r>
      <w:fldChar w:fldCharType="begin"/>
    </w:r>
    <w:r>
      <w:instrText xml:space="preserve"> PAGE  \* MERGEFORMAT </w:instrText>
    </w:r>
    <w:r>
      <w:fldChar w:fldCharType="separate"/>
    </w:r>
    <w:r w:rsidR="00607C5E">
      <w:rPr>
        <w:noProof/>
      </w:rPr>
      <w:t>2</w:t>
    </w:r>
    <w:r>
      <w:fldChar w:fldCharType="end"/>
    </w:r>
  </w:p>
  <w:p w:rsidR="00050FB5" w:rsidRDefault="00050FB5" w:rsidP="00050F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796"/>
    <w:rsid w:val="00000169"/>
    <w:rsid w:val="00004D4D"/>
    <w:rsid w:val="00007B70"/>
    <w:rsid w:val="00007DDD"/>
    <w:rsid w:val="00010512"/>
    <w:rsid w:val="00011BAB"/>
    <w:rsid w:val="000154F3"/>
    <w:rsid w:val="000203E7"/>
    <w:rsid w:val="00020E5B"/>
    <w:rsid w:val="000219C8"/>
    <w:rsid w:val="00030BB1"/>
    <w:rsid w:val="00035598"/>
    <w:rsid w:val="00050BCA"/>
    <w:rsid w:val="00050FB5"/>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2CC"/>
    <w:rsid w:val="00197DEE"/>
    <w:rsid w:val="001A253A"/>
    <w:rsid w:val="001A28C1"/>
    <w:rsid w:val="001A3589"/>
    <w:rsid w:val="001A55F1"/>
    <w:rsid w:val="001A66DB"/>
    <w:rsid w:val="001B3175"/>
    <w:rsid w:val="001B3F81"/>
    <w:rsid w:val="001B7150"/>
    <w:rsid w:val="001C6A67"/>
    <w:rsid w:val="001C6FB9"/>
    <w:rsid w:val="001D576D"/>
    <w:rsid w:val="001D7350"/>
    <w:rsid w:val="001E4DBB"/>
    <w:rsid w:val="001F6719"/>
    <w:rsid w:val="001F6DA6"/>
    <w:rsid w:val="002034A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77A"/>
    <w:rsid w:val="003B7F50"/>
    <w:rsid w:val="003C32D1"/>
    <w:rsid w:val="003C6FBF"/>
    <w:rsid w:val="003D2B0D"/>
    <w:rsid w:val="003D6256"/>
    <w:rsid w:val="003E3338"/>
    <w:rsid w:val="003E7B4E"/>
    <w:rsid w:val="003F145F"/>
    <w:rsid w:val="003F4A22"/>
    <w:rsid w:val="004040F9"/>
    <w:rsid w:val="00406A85"/>
    <w:rsid w:val="0041453D"/>
    <w:rsid w:val="0044404C"/>
    <w:rsid w:val="0045603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5CA"/>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C5E"/>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796"/>
    <w:rsid w:val="006C3B76"/>
    <w:rsid w:val="006C4542"/>
    <w:rsid w:val="006D65B4"/>
    <w:rsid w:val="006E36B4"/>
    <w:rsid w:val="006F4C44"/>
    <w:rsid w:val="006F652B"/>
    <w:rsid w:val="0070018A"/>
    <w:rsid w:val="00712CBE"/>
    <w:rsid w:val="00730582"/>
    <w:rsid w:val="00741A09"/>
    <w:rsid w:val="00743353"/>
    <w:rsid w:val="00752616"/>
    <w:rsid w:val="0075577B"/>
    <w:rsid w:val="00757B3B"/>
    <w:rsid w:val="00762366"/>
    <w:rsid w:val="007676EB"/>
    <w:rsid w:val="0076794B"/>
    <w:rsid w:val="00771F97"/>
    <w:rsid w:val="00772A40"/>
    <w:rsid w:val="0077700A"/>
    <w:rsid w:val="0079623B"/>
    <w:rsid w:val="007A0026"/>
    <w:rsid w:val="007B5C2D"/>
    <w:rsid w:val="007C1354"/>
    <w:rsid w:val="007D0F64"/>
    <w:rsid w:val="007F02BF"/>
    <w:rsid w:val="007F2A14"/>
    <w:rsid w:val="007F42B2"/>
    <w:rsid w:val="0080085C"/>
    <w:rsid w:val="00802AF0"/>
    <w:rsid w:val="00806253"/>
    <w:rsid w:val="00820A1D"/>
    <w:rsid w:val="00841F07"/>
    <w:rsid w:val="008462AA"/>
    <w:rsid w:val="00846D3E"/>
    <w:rsid w:val="00846D45"/>
    <w:rsid w:val="0084725C"/>
    <w:rsid w:val="008627AA"/>
    <w:rsid w:val="008628FF"/>
    <w:rsid w:val="00867FC7"/>
    <w:rsid w:val="00874609"/>
    <w:rsid w:val="0087660A"/>
    <w:rsid w:val="008823BC"/>
    <w:rsid w:val="008859B3"/>
    <w:rsid w:val="008A5B5A"/>
    <w:rsid w:val="008B0A78"/>
    <w:rsid w:val="008B313B"/>
    <w:rsid w:val="008B4545"/>
    <w:rsid w:val="008B6E84"/>
    <w:rsid w:val="008C6FA9"/>
    <w:rsid w:val="008D35C6"/>
    <w:rsid w:val="008D455C"/>
    <w:rsid w:val="008D62DB"/>
    <w:rsid w:val="008E3B9B"/>
    <w:rsid w:val="008E4F67"/>
    <w:rsid w:val="008F6A7A"/>
    <w:rsid w:val="00902B2D"/>
    <w:rsid w:val="00915B98"/>
    <w:rsid w:val="00920D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FA8"/>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D0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00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A0A"/>
    <w:rsid w:val="00DF4E47"/>
    <w:rsid w:val="00E0012A"/>
    <w:rsid w:val="00E025E4"/>
    <w:rsid w:val="00E03582"/>
    <w:rsid w:val="00E05DFC"/>
    <w:rsid w:val="00E33D7F"/>
    <w:rsid w:val="00E44D94"/>
    <w:rsid w:val="00E500AD"/>
    <w:rsid w:val="00E51F46"/>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77A"/>
    <w:rsid w:val="00F85DDC"/>
    <w:rsid w:val="00F91244"/>
    <w:rsid w:val="00F95319"/>
    <w:rsid w:val="00FA170C"/>
    <w:rsid w:val="00FB3056"/>
    <w:rsid w:val="00FB309C"/>
    <w:rsid w:val="00FB3C7C"/>
    <w:rsid w:val="00FB6E52"/>
    <w:rsid w:val="00FC5994"/>
    <w:rsid w:val="00FD2897"/>
    <w:rsid w:val="00FD4421"/>
    <w:rsid w:val="00FD4591"/>
    <w:rsid w:val="00FE534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3E8888-BAAA-4683-AD5E-BB419929D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0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BBBC2-1CB1-4B00-B52B-8C847FF8D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981</Words>
  <Characters>5191</Characters>
  <Application>Microsoft Office Word</Application>
  <DocSecurity>0</DocSecurity>
  <Lines>132</Lines>
  <Paragraphs>38</Paragraphs>
  <ScaleCrop>false</ScaleCrop>
  <HeadingPairs>
    <vt:vector size="2" baseType="variant">
      <vt:variant>
        <vt:lpstr>Title</vt:lpstr>
      </vt:variant>
      <vt:variant>
        <vt:i4>1</vt:i4>
      </vt:variant>
    </vt:vector>
  </HeadingPairs>
  <TitlesOfParts>
    <vt:vector size="1" baseType="lpstr">
      <vt:lpstr>A1574</vt:lpstr>
    </vt:vector>
  </TitlesOfParts>
  <Manager>R225</Manager>
  <Company>OFFICE of LEGISLATIVE SERVICES</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A1574</dc:title>
  <dc:creator>Assemblyman  HOUGHTALING, Assemblywoman  DOWNEY</dc:creator>
  <cp:keywords>A1574|4|LG |317|0|0|!|0|</cp:keywords>
  <dc:description>PREFILED 2020</dc:description>
  <cp:lastModifiedBy>Siracusa, Nicole</cp:lastModifiedBy>
  <cp:revision>2</cp:revision>
  <cp:lastPrinted>2005-07-29T18:13:00Z</cp:lastPrinted>
  <dcterms:created xsi:type="dcterms:W3CDTF">2020-01-09T21:03:00Z</dcterms:created>
  <dcterms:modified xsi:type="dcterms:W3CDTF">2020-01-09T21:03:00Z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