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63F" w:rsidRDefault="0047563F" w:rsidP="0047563F">
      <w:pPr>
        <w:pStyle w:val="bpuBill"/>
      </w:pPr>
      <w:bookmarkStart w:id="0" w:name="bpuFrontPg"/>
      <w:bookmarkStart w:id="1" w:name="_GoBack"/>
      <w:bookmarkEnd w:id="0"/>
      <w:bookmarkEnd w:id="1"/>
      <w:r>
        <w:t xml:space="preserve">ASSEMBLY, No. 1586 </w:t>
      </w:r>
    </w:p>
    <w:p w:rsidR="0047563F" w:rsidRPr="0047563F" w:rsidRDefault="0047563F" w:rsidP="004756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529" r:id="rId8"/>
        </w:object>
      </w:r>
    </w:p>
    <w:p w:rsidR="0047563F" w:rsidRDefault="0047563F" w:rsidP="0047563F">
      <w:pPr>
        <w:pStyle w:val="bpuState"/>
      </w:pPr>
      <w:r>
        <w:t>STATE OF NEW JERSEY</w:t>
      </w:r>
    </w:p>
    <w:p w:rsidR="0047563F" w:rsidRDefault="0047563F" w:rsidP="0047563F">
      <w:pPr>
        <w:pStyle w:val="bpuLegislature"/>
      </w:pPr>
      <w:r>
        <w:t>219th LEGISLATURE</w:t>
      </w:r>
    </w:p>
    <w:p w:rsidR="0047563F" w:rsidRDefault="0047563F" w:rsidP="0047563F">
      <w:pPr>
        <w:pStyle w:val="bpuWpGraphic"/>
      </w:pPr>
      <w:r>
        <w:object w:dxaOrig="8985" w:dyaOrig="255">
          <v:shape id="_x0000_i1026" type="#_x0000_t75" style="width:6in;height:12pt" o:ole="">
            <v:imagedata r:id="rId7" o:title=""/>
          </v:shape>
          <o:OLEObject Type="Embed" ProgID="WPWin6.1" ShapeID="_x0000_i1026" DrawAspect="Content" ObjectID="_1640091530" r:id="rId9"/>
        </w:object>
      </w:r>
      <w:r>
        <w:t xml:space="preserve">  </w:t>
      </w:r>
    </w:p>
    <w:p w:rsidR="0047563F" w:rsidRDefault="0047563F" w:rsidP="0047563F">
      <w:pPr>
        <w:pStyle w:val="bpuIntro"/>
      </w:pPr>
      <w:r>
        <w:t>PRE-FILED FOR INTRODUCTION IN THE 2020 SESSION</w:t>
      </w:r>
    </w:p>
    <w:p w:rsidR="0047563F" w:rsidRDefault="0047563F" w:rsidP="0047563F">
      <w:pPr>
        <w:pStyle w:val="bpuIntro"/>
      </w:pPr>
    </w:p>
    <w:p w:rsidR="0047563F" w:rsidRDefault="0047563F" w:rsidP="0047563F">
      <w:pPr>
        <w:pStyle w:val="bpuIntro"/>
        <w:sectPr w:rsidR="0047563F" w:rsidSect="0047563F">
          <w:headerReference w:type="even" r:id="rId10"/>
          <w:headerReference w:type="default" r:id="rId11"/>
          <w:pgSz w:w="12240" w:h="20160" w:code="5"/>
          <w:pgMar w:top="2160" w:right="1440" w:bottom="1440" w:left="1440" w:header="720" w:footer="720" w:gutter="0"/>
          <w:pgNumType w:start="1"/>
          <w:cols w:space="720"/>
          <w:docGrid w:linePitch="360"/>
        </w:sectPr>
      </w:pPr>
    </w:p>
    <w:p w:rsidR="0047563F" w:rsidRDefault="0047563F" w:rsidP="0047563F">
      <w:pPr>
        <w:pStyle w:val="bpuIntro"/>
      </w:pPr>
    </w:p>
    <w:p w:rsidR="0047563F" w:rsidRDefault="0047563F" w:rsidP="0047563F">
      <w:pPr>
        <w:pStyle w:val="bpuSponsor"/>
      </w:pPr>
      <w:r>
        <w:t>Sponsored by:</w:t>
      </w:r>
    </w:p>
    <w:p w:rsidR="0047563F" w:rsidRDefault="0047563F" w:rsidP="0047563F">
      <w:pPr>
        <w:pStyle w:val="bpuSponsor"/>
      </w:pPr>
      <w:r>
        <w:t>Assemblyman  ERIC HOUGHTALING</w:t>
      </w:r>
    </w:p>
    <w:p w:rsidR="0047563F" w:rsidRDefault="0047563F" w:rsidP="0047563F">
      <w:pPr>
        <w:pStyle w:val="bpuSponsor"/>
      </w:pPr>
      <w:r>
        <w:t>District 11 (Monmouth)</w:t>
      </w:r>
    </w:p>
    <w:p w:rsidR="0047563F" w:rsidRDefault="0047563F" w:rsidP="0047563F">
      <w:pPr>
        <w:pStyle w:val="bpuSponsor"/>
      </w:pPr>
      <w:r>
        <w:t>Assemblywoman  JOANN DOWNEY</w:t>
      </w:r>
    </w:p>
    <w:p w:rsidR="0047563F" w:rsidRDefault="0047563F" w:rsidP="0047563F">
      <w:pPr>
        <w:pStyle w:val="bpuSponsor"/>
      </w:pPr>
      <w:r>
        <w:t>District 11 (Monmouth)</w:t>
      </w:r>
    </w:p>
    <w:p w:rsidR="0047563F" w:rsidRDefault="0047563F" w:rsidP="0047563F">
      <w:pPr>
        <w:pStyle w:val="bpuSponsor"/>
      </w:pPr>
    </w:p>
    <w:p w:rsidR="0047563F" w:rsidRDefault="0047563F" w:rsidP="0047563F">
      <w:pPr>
        <w:pStyle w:val="bpuSponsor"/>
      </w:pPr>
    </w:p>
    <w:p w:rsidR="0047563F" w:rsidRDefault="0047563F" w:rsidP="0047563F">
      <w:pPr>
        <w:pStyle w:val="bpuSponsor"/>
      </w:pPr>
    </w:p>
    <w:p w:rsidR="0047563F" w:rsidRDefault="0047563F" w:rsidP="0047563F">
      <w:pPr>
        <w:pStyle w:val="bpuSponsor"/>
      </w:pPr>
    </w:p>
    <w:p w:rsidR="0047563F" w:rsidRDefault="0047563F" w:rsidP="0047563F">
      <w:pPr>
        <w:pStyle w:val="bpuSponsor"/>
      </w:pPr>
      <w:r>
        <w:t>SYNOPSIS</w:t>
      </w:r>
    </w:p>
    <w:p w:rsidR="0047563F" w:rsidRDefault="0047563F" w:rsidP="0047563F">
      <w:pPr>
        <w:pStyle w:val="bpuNormText"/>
      </w:pPr>
      <w:r>
        <w:tab/>
        <w:t xml:space="preserve">Concerns annual service charge paid to municipalities that enter into financial agreements under “Long Term Tax Exemption Law,” P.L.1991, c.431. </w:t>
      </w:r>
    </w:p>
    <w:p w:rsidR="0047563F" w:rsidRDefault="0047563F" w:rsidP="0047563F">
      <w:pPr>
        <w:pStyle w:val="bpuNormText"/>
      </w:pPr>
    </w:p>
    <w:p w:rsidR="0047563F" w:rsidRDefault="0047563F" w:rsidP="0047563F">
      <w:pPr>
        <w:pStyle w:val="bpuSponsor"/>
      </w:pPr>
      <w:r>
        <w:t xml:space="preserve">CURRENT VERSION OF TEXT </w:t>
      </w:r>
    </w:p>
    <w:p w:rsidR="0047563F" w:rsidRDefault="0047563F" w:rsidP="0047563F">
      <w:pPr>
        <w:pStyle w:val="bpuNormText"/>
      </w:pPr>
      <w:r>
        <w:tab/>
        <w:t>Introduced Pending Technical Review by Legislative Counsel.</w:t>
      </w:r>
    </w:p>
    <w:p w:rsidR="0047563F" w:rsidRDefault="0047563F" w:rsidP="004756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563F" w:rsidRDefault="004756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563F" w:rsidSect="0047563F">
          <w:type w:val="continuous"/>
          <w:pgSz w:w="12240" w:h="20160" w:code="5"/>
          <w:pgMar w:top="2160" w:right="2275" w:bottom="1440" w:left="2275" w:header="72" w:footer="720" w:gutter="0"/>
          <w:pgNumType w:start="1"/>
          <w:cols w:space="720"/>
          <w:docGrid w:linePitch="360"/>
        </w:sectPr>
      </w:pPr>
    </w:p>
    <w:p w:rsidR="003553EA" w:rsidRPr="00677316" w:rsidRDefault="003553EA" w:rsidP="003553EA">
      <w:pPr>
        <w:pStyle w:val="HangingAnAct"/>
        <w:rPr>
          <w:rStyle w:val="HangingAnActChar"/>
        </w:rPr>
      </w:pPr>
      <w:r w:rsidRPr="003553EA">
        <w:rPr>
          <w:rStyle w:val="BillHead"/>
        </w:rPr>
        <w:lastRenderedPageBreak/>
        <w:t>An Act</w:t>
      </w:r>
      <w:r w:rsidRPr="006B7FA7">
        <w:rPr>
          <w:rStyle w:val="HangingAnActChar"/>
        </w:rPr>
        <w:t xml:space="preserve"> </w:t>
      </w:r>
      <w:r>
        <w:t>concerning long term property tax exemptions and amending P.L.1991, c.431.</w:t>
      </w:r>
    </w:p>
    <w:p w:rsidR="003553EA" w:rsidRPr="00D71D68" w:rsidRDefault="003553EA" w:rsidP="003553EA"/>
    <w:p w:rsidR="003553EA" w:rsidRPr="00AA7880" w:rsidRDefault="003553EA" w:rsidP="003553EA">
      <w:r>
        <w:tab/>
      </w:r>
      <w:r>
        <w:rPr>
          <w:rStyle w:val="BillHeading2"/>
        </w:rPr>
        <w:t xml:space="preserve">Be It Enacted </w:t>
      </w:r>
      <w:r>
        <w:rPr>
          <w:rStyle w:val="BillLanguage"/>
        </w:rPr>
        <w:t>by the Senate and General Assembly of the State of New Jersey:</w:t>
      </w:r>
    </w:p>
    <w:p w:rsidR="003553EA" w:rsidRDefault="003553EA" w:rsidP="003553EA"/>
    <w:p w:rsidR="003553EA" w:rsidRDefault="003553EA" w:rsidP="003553EA">
      <w:r>
        <w:tab/>
        <w:t>1.</w:t>
      </w:r>
      <w:r>
        <w:tab/>
        <w:t>Section 12 of P.L.1991, c.431 (C.40A:20-12) is amended to read as follows:</w:t>
      </w:r>
    </w:p>
    <w:p w:rsidR="003553EA" w:rsidRDefault="003553EA" w:rsidP="003553EA">
      <w:r>
        <w:tab/>
        <w:t>12.</w:t>
      </w:r>
      <w:r>
        <w:tab/>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3553EA" w:rsidRDefault="003553EA" w:rsidP="003553EA">
      <w: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3553EA" w:rsidRDefault="003553EA" w:rsidP="003553EA">
      <w:r>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3553EA" w:rsidRDefault="003553EA" w:rsidP="003553EA">
      <w:r>
        <w:tab/>
        <w:t xml:space="preserve">Whenever an exemption status changes during a tax year, the procedure for the apportionment of the taxes for the year shall be the same as in the case of other changes in tax exemption status </w:t>
      </w:r>
      <w:r>
        <w:lastRenderedPageBreak/>
        <w:t>during the tax year.  Tax exemptions granted pursuant to P.L.2003, c.125 (C.40A:12A-4.1 et al.) represent long term financial agreements between the municipality and the urban renewal entity and as such constitute a single continuing exemption from local property taxation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3553EA" w:rsidRDefault="003553EA" w:rsidP="003553EA">
      <w:r>
        <w:tab/>
        <w:t>a.</w:t>
      </w:r>
      <w:r>
        <w:tab/>
        <w:t>The duration of the exemption for urban renewal entities shall be as follows: for all projects, a term of not more than 30 years from the completion of the entire project, or unit of the project if the project is undertaken in units, or not more than 35 years from the execution of the financial agreement between the municipality and the urban renewal entity.</w:t>
      </w:r>
    </w:p>
    <w:p w:rsidR="003553EA" w:rsidRDefault="003553EA" w:rsidP="003553EA">
      <w:r>
        <w:tab/>
        <w:t>b.</w:t>
      </w:r>
      <w:r>
        <w:tab/>
        <w:t>During the term of any exemption, in lieu of any taxes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3553EA" w:rsidRDefault="003553EA" w:rsidP="003553EA">
      <w:r>
        <w:tab/>
        <w:t>(1)</w:t>
      </w:r>
      <w:r>
        <w:tab/>
        <w:t>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15% in the case of a low and moderate income housing project, nor less than 10% in the case of all other projects.</w:t>
      </w:r>
    </w:p>
    <w:p w:rsidR="003553EA" w:rsidRDefault="003553EA" w:rsidP="003553EA">
      <w:r>
        <w:tab/>
        <w:t xml:space="preserve">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w:t>
      </w:r>
      <w:r>
        <w:lastRenderedPageBreak/>
        <w:t>of the month following the substantial completion of the project or any unit thereof, if the project is undertaken in units.  The percentage of the total project cost or total project unit cost shall not be more than 2% in the case of a low and moderate income housing project, and shall not be less than 2% in the case of all other projects.</w:t>
      </w:r>
    </w:p>
    <w:p w:rsidR="003553EA" w:rsidRDefault="003553EA" w:rsidP="003553EA">
      <w:r>
        <w:tab/>
        <w:t>(2)</w:t>
      </w:r>
      <w:r>
        <w:tab/>
        <w:t>In either case, the financial agreement shall establish a schedule of annual service charges to be paid over the term of the exemption period, which shall be in stages as follows:</w:t>
      </w:r>
    </w:p>
    <w:p w:rsidR="003553EA" w:rsidRDefault="003553EA" w:rsidP="003553EA">
      <w:r>
        <w:tab/>
        <w:t>(a)</w:t>
      </w:r>
      <w:r>
        <w:tab/>
        <w:t>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3553EA" w:rsidRDefault="003553EA" w:rsidP="003553EA">
      <w:r>
        <w:tab/>
        <w:t>(b)</w:t>
      </w:r>
      <w:r>
        <w:tab/>
        <w:t>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20% of the amount of taxes otherwise due on the value of the land and improvements, whichever shall be greater;</w:t>
      </w:r>
    </w:p>
    <w:p w:rsidR="003553EA" w:rsidRDefault="003553EA" w:rsidP="003553EA">
      <w:r>
        <w:tab/>
        <w:t>(c)</w:t>
      </w:r>
      <w:r>
        <w:tab/>
        <w:t>For the third stage of the exemption period, which shall not be less than one year nor more than six years, as specified in the financial agreement, an amount equal to either the amount determined pursuant to paragraph (1) of this subsection and section 11 of P.L.1991, c.431 (C.40A:20-11), or 40% of the amount of taxes otherwise due on the value of the land and improvements, whichever shall be greater;</w:t>
      </w:r>
    </w:p>
    <w:p w:rsidR="003553EA" w:rsidRDefault="003553EA" w:rsidP="003553EA">
      <w:r>
        <w:tab/>
        <w:t>(d)</w:t>
      </w:r>
      <w:r>
        <w:tab/>
        <w:t>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60% of the amount of taxes otherwise due on the value of the land and improvements, whichever shall be greater; and</w:t>
      </w:r>
    </w:p>
    <w:p w:rsidR="003553EA" w:rsidRDefault="003553EA" w:rsidP="003553EA">
      <w:r>
        <w:tab/>
        <w:t>(e)</w:t>
      </w:r>
      <w:r>
        <w:tab/>
        <w:t>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80% of the amount of taxes otherwise due on the value of the land and improvements, whichever shall be greater.</w:t>
      </w:r>
    </w:p>
    <w:p w:rsidR="003553EA" w:rsidRDefault="003553EA" w:rsidP="003553EA">
      <w:r>
        <w:lastRenderedPageBreak/>
        <w:tab/>
        <w:t>If the financial agreement provides for an exemption period of less than 30 years from the completion of the entire project, or less than 35 years from the execution of the financial agreement, the financial agreement shall set forth a schedule of annual service charges for the exemption period which shall be based upon the minimum service charges and staged adjustments set forth in this section.</w:t>
      </w:r>
    </w:p>
    <w:p w:rsidR="003553EA" w:rsidRDefault="003553EA" w:rsidP="003553EA">
      <w:r>
        <w:tab/>
        <w:t>The annual service charge shall be paid to the municipality on a quarterly basis in a manner consistent with the municipality's tax collection schedule.</w:t>
      </w:r>
    </w:p>
    <w:p w:rsidR="003553EA" w:rsidRDefault="003553EA" w:rsidP="003553EA">
      <w:pPr>
        <w:rPr>
          <w:b/>
          <w:i/>
          <w:u w:val="single"/>
        </w:rPr>
      </w:pPr>
      <w:r>
        <w:tab/>
        <w:t xml:space="preserve">Each municipality which enters into a financial agreement on or after the effective date of P.L.2003, c.125 (C.40A:12A-4.1 et al.) shall remit 5 percent of the annual service charge collected by the municipality to the county in accordance with the provisions of R.S.54:4-74.  </w:t>
      </w:r>
      <w:r w:rsidRPr="00BB006D">
        <w:rPr>
          <w:u w:val="single"/>
        </w:rPr>
        <w:t>If the board of education of a public school district to which the municipality is required to remit a payment pursuant to R.S.54:4-</w:t>
      </w:r>
      <w:r w:rsidRPr="007A49FF">
        <w:rPr>
          <w:u w:val="single"/>
        </w:rPr>
        <w:t xml:space="preserve">75 is contributing less than its </w:t>
      </w:r>
      <w:r>
        <w:rPr>
          <w:u w:val="single"/>
        </w:rPr>
        <w:t xml:space="preserve">full </w:t>
      </w:r>
      <w:r w:rsidRPr="007A49FF">
        <w:rPr>
          <w:u w:val="single"/>
        </w:rPr>
        <w:t>local share of property taxes for school funding pursuant to section 10 of P.L.2007, c.260 (C.18A:7F-52), th</w:t>
      </w:r>
      <w:r w:rsidRPr="00BB006D">
        <w:rPr>
          <w:u w:val="single"/>
        </w:rPr>
        <w:t xml:space="preserve">en the </w:t>
      </w:r>
      <w:r>
        <w:rPr>
          <w:u w:val="single"/>
        </w:rPr>
        <w:t xml:space="preserve">municipality </w:t>
      </w:r>
      <w:r w:rsidRPr="00BB006D">
        <w:rPr>
          <w:u w:val="single"/>
        </w:rPr>
        <w:t>shall re</w:t>
      </w:r>
      <w:r>
        <w:rPr>
          <w:u w:val="single"/>
        </w:rPr>
        <w:t xml:space="preserve">mit to the board of education </w:t>
      </w:r>
      <w:r w:rsidRPr="00BB006D">
        <w:rPr>
          <w:u w:val="single"/>
        </w:rPr>
        <w:t>a portion of the annual service charge, in direct proportion to the distribution of the amount raised by taxation in the municipality on behalf of the public school district, as displayed on the prior year’s property tax bill pursuant to paragraph (1) of subsection b. of R.S.54:4-65.</w:t>
      </w:r>
    </w:p>
    <w:p w:rsidR="003553EA" w:rsidRDefault="003553EA" w:rsidP="003553EA">
      <w:r>
        <w:tab/>
        <w:t>Against the annual service charge the urban renewal entity shall be entitled to credit for the amount, without interest, of the real estate taxes on land paid by it in the last four preceding quarterly installments.</w:t>
      </w:r>
    </w:p>
    <w:p w:rsidR="003553EA" w:rsidRDefault="003553EA" w:rsidP="003553EA">
      <w: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3553EA" w:rsidRDefault="003553EA" w:rsidP="003553EA">
      <w:r>
        <w:tab/>
        <w:t>c.</w:t>
      </w:r>
      <w:r>
        <w:tab/>
        <w:t>All exemptions granted pursuant to the provisions of P.L.1991, c.431 (C.40A:20-1 et seq.) shall terminate at the time prescribed in the financial agreement.</w:t>
      </w:r>
    </w:p>
    <w:p w:rsidR="003553EA" w:rsidRDefault="003553EA" w:rsidP="003553EA">
      <w: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E324A3" w:rsidRDefault="003553EA" w:rsidP="00E324A3">
      <w:r>
        <w:t>(</w:t>
      </w:r>
      <w:proofErr w:type="spellStart"/>
      <w:r>
        <w:t>cf</w:t>
      </w:r>
      <w:proofErr w:type="spellEnd"/>
      <w:r>
        <w:t>:  P.L.2015, c.247, s.1)</w:t>
      </w:r>
      <w:r w:rsidR="00E324A3">
        <w:br w:type="page"/>
      </w:r>
    </w:p>
    <w:p w:rsidR="003553EA" w:rsidRDefault="003553EA" w:rsidP="003553EA">
      <w:r>
        <w:lastRenderedPageBreak/>
        <w:tab/>
        <w:t>2.</w:t>
      </w:r>
      <w:r>
        <w:tab/>
        <w:t>This act shall take effect immediately.</w:t>
      </w:r>
    </w:p>
    <w:p w:rsidR="00A5226C" w:rsidRDefault="00A5226C" w:rsidP="003553EA"/>
    <w:p w:rsidR="00A5226C" w:rsidRDefault="00A5226C" w:rsidP="003553EA"/>
    <w:p w:rsidR="003553EA" w:rsidRPr="00AA7880" w:rsidRDefault="003553EA" w:rsidP="003553EA">
      <w:pPr>
        <w:jc w:val="center"/>
      </w:pPr>
      <w:r w:rsidRPr="00D71D68">
        <w:t>STATEMENT</w:t>
      </w:r>
    </w:p>
    <w:p w:rsidR="003553EA" w:rsidRDefault="003553EA" w:rsidP="003553EA"/>
    <w:p w:rsidR="003553EA" w:rsidRDefault="003553EA" w:rsidP="003553EA">
      <w:r>
        <w:tab/>
        <w:t xml:space="preserve">This bill would require certain municipalities that enter into a financial agreement with a developer under the “Long Term Tax Exemption Law,” P.L.1991, c.431 (C.40A:20-1 et seq.), and collect from the developer an annual service charge, to remit to local </w:t>
      </w:r>
      <w:r w:rsidRPr="00B23DA0">
        <w:t>board</w:t>
      </w:r>
      <w:r>
        <w:t>s</w:t>
      </w:r>
      <w:r w:rsidRPr="00B23DA0">
        <w:t xml:space="preserve"> of education a portion of that annual service charge</w:t>
      </w:r>
      <w:r>
        <w:t xml:space="preserve"> under certain circumstances. </w:t>
      </w:r>
    </w:p>
    <w:p w:rsidR="003553EA" w:rsidRDefault="003553EA" w:rsidP="003553EA">
      <w:r>
        <w:tab/>
        <w:t xml:space="preserve">The bill requires that </w:t>
      </w:r>
      <w:r w:rsidRPr="00161E1C">
        <w:t xml:space="preserve">if the board of education of a public school district to which the municipality is required to remit a payment pursuant to R.S.54:4-75 </w:t>
      </w:r>
      <w:r w:rsidRPr="00241CD3">
        <w:t xml:space="preserve">is contributing less than its </w:t>
      </w:r>
      <w:r>
        <w:t xml:space="preserve">full </w:t>
      </w:r>
      <w:r w:rsidRPr="00241CD3">
        <w:t>local share of property taxes for school funding pursuant to section 10 of P.L.2007, c.260 (C.18A:7F-52), then</w:t>
      </w:r>
      <w:r w:rsidRPr="00161E1C">
        <w:t xml:space="preserve"> </w:t>
      </w:r>
      <w:r w:rsidRPr="007A49FF">
        <w:t xml:space="preserve">the municipality </w:t>
      </w:r>
      <w:r>
        <w:t>would</w:t>
      </w:r>
      <w:r w:rsidRPr="007A49FF">
        <w:t xml:space="preserve"> remit to the board of education a portion of the annual service charge, in direct proportion to the distribution of the amount raised by taxation in the municipality on behalf of the public school district, as displayed on the prior year’s property tax</w:t>
      </w:r>
      <w:r>
        <w:t xml:space="preserve"> bill</w:t>
      </w:r>
      <w:r w:rsidRPr="007A49FF">
        <w:t>.</w:t>
      </w:r>
    </w:p>
    <w:sectPr w:rsidR="003553EA" w:rsidSect="0047563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D6C" w:rsidRDefault="004A4D6C">
      <w:r>
        <w:separator/>
      </w:r>
    </w:p>
  </w:endnote>
  <w:endnote w:type="continuationSeparator" w:id="0">
    <w:p w:rsidR="004A4D6C" w:rsidRDefault="004A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071" w:rsidRPr="00921C91" w:rsidRDefault="004D00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0071" w:rsidRPr="00921C91" w:rsidRDefault="004D0071">
    <w:pPr>
      <w:pStyle w:val="Footer"/>
      <w:rPr>
        <w:szCs w:val="18"/>
      </w:rPr>
    </w:pPr>
  </w:p>
  <w:p w:rsidR="004D0071" w:rsidRPr="00921C91" w:rsidRDefault="004D00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0071" w:rsidRDefault="004D007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D6C" w:rsidRDefault="004A4D6C">
      <w:r>
        <w:separator/>
      </w:r>
    </w:p>
  </w:footnote>
  <w:footnote w:type="continuationSeparator" w:id="0">
    <w:p w:rsidR="004A4D6C" w:rsidRDefault="004A4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18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563F" w:rsidRDefault="0047563F" w:rsidP="0047563F">
    <w:pPr>
      <w:pStyle w:val="bpuHeadSpon"/>
    </w:pPr>
    <w:r w:rsidRPr="0047563F">
      <w:rPr>
        <w:rStyle w:val="bpuHeadSponChar"/>
      </w:rPr>
      <w:t>A1586</w:t>
    </w:r>
    <w:r>
      <w:t xml:space="preserve"> HOUGHTALING, DOWNEY</w:t>
    </w:r>
  </w:p>
  <w:p w:rsidR="0047563F" w:rsidRDefault="0047563F" w:rsidP="0047563F">
    <w:pPr>
      <w:pStyle w:val="bpuHeadSpon"/>
    </w:pPr>
    <w:r>
      <w:fldChar w:fldCharType="begin"/>
    </w:r>
    <w:r>
      <w:instrText xml:space="preserve"> PAGE  \* MERGEFORMAT </w:instrText>
    </w:r>
    <w:r>
      <w:fldChar w:fldCharType="separate"/>
    </w:r>
    <w:r w:rsidR="008C1844">
      <w:rPr>
        <w:noProof/>
      </w:rPr>
      <w:t>6</w:t>
    </w:r>
    <w:r>
      <w:fldChar w:fldCharType="end"/>
    </w:r>
  </w:p>
  <w:p w:rsidR="0047563F" w:rsidRPr="00AF575C" w:rsidRDefault="0047563F" w:rsidP="004756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563F" w:rsidRDefault="0047563F" w:rsidP="0047563F">
    <w:pPr>
      <w:pStyle w:val="bpuHeadSpon"/>
    </w:pPr>
    <w:r w:rsidRPr="0047563F">
      <w:rPr>
        <w:rStyle w:val="bpuHeadSponChar"/>
      </w:rPr>
      <w:t>A1586</w:t>
    </w:r>
    <w:r>
      <w:t xml:space="preserve"> HOUGHTALING, DOWNEY</w:t>
    </w:r>
  </w:p>
  <w:p w:rsidR="0047563F" w:rsidRDefault="0047563F" w:rsidP="0047563F">
    <w:pPr>
      <w:pStyle w:val="bpuHeadSpon"/>
    </w:pPr>
    <w:r>
      <w:fldChar w:fldCharType="begin"/>
    </w:r>
    <w:r>
      <w:instrText xml:space="preserve"> PAGE  \* MERGEFORMAT </w:instrText>
    </w:r>
    <w:r>
      <w:fldChar w:fldCharType="separate"/>
    </w:r>
    <w:r w:rsidR="008C1844">
      <w:rPr>
        <w:noProof/>
      </w:rPr>
      <w:t>2</w:t>
    </w:r>
    <w:r>
      <w:fldChar w:fldCharType="end"/>
    </w:r>
  </w:p>
  <w:p w:rsidR="0047563F" w:rsidRDefault="0047563F" w:rsidP="004756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D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B8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39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3E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563F"/>
    <w:rsid w:val="0048038F"/>
    <w:rsid w:val="00484B8A"/>
    <w:rsid w:val="004A4D6C"/>
    <w:rsid w:val="004A5222"/>
    <w:rsid w:val="004B0CE3"/>
    <w:rsid w:val="004B5C78"/>
    <w:rsid w:val="004B667A"/>
    <w:rsid w:val="004B6E61"/>
    <w:rsid w:val="004B75D5"/>
    <w:rsid w:val="004C0EE5"/>
    <w:rsid w:val="004C1B1C"/>
    <w:rsid w:val="004C2B44"/>
    <w:rsid w:val="004D0071"/>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D0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FD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84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26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C4D"/>
    <w:rsid w:val="00C83317"/>
    <w:rsid w:val="00C8655A"/>
    <w:rsid w:val="00C937A1"/>
    <w:rsid w:val="00C93F56"/>
    <w:rsid w:val="00CB344E"/>
    <w:rsid w:val="00CF2757"/>
    <w:rsid w:val="00CF2761"/>
    <w:rsid w:val="00CF506C"/>
    <w:rsid w:val="00CF7045"/>
    <w:rsid w:val="00D04B03"/>
    <w:rsid w:val="00D0612B"/>
    <w:rsid w:val="00D06296"/>
    <w:rsid w:val="00D0784A"/>
    <w:rsid w:val="00D1283E"/>
    <w:rsid w:val="00D158BB"/>
    <w:rsid w:val="00D169D8"/>
    <w:rsid w:val="00D209A5"/>
    <w:rsid w:val="00D23780"/>
    <w:rsid w:val="00D31191"/>
    <w:rsid w:val="00D3245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4A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A4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B1BC29-0D79-4E42-A5E0-8BBBC32F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5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BBD4-335C-4BED-97D6-AF8F76322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2086</Words>
  <Characters>10591</Characters>
  <Application>Microsoft Office Word</Application>
  <DocSecurity>0</DocSecurity>
  <Lines>235</Lines>
  <Paragraphs>42</Paragraphs>
  <ScaleCrop>false</ScaleCrop>
  <HeadingPairs>
    <vt:vector size="2" baseType="variant">
      <vt:variant>
        <vt:lpstr>Title</vt:lpstr>
      </vt:variant>
      <vt:variant>
        <vt:i4>1</vt:i4>
      </vt:variant>
    </vt:vector>
  </HeadingPairs>
  <TitlesOfParts>
    <vt:vector size="1" baseType="lpstr">
      <vt:lpstr>A1586</vt:lpstr>
    </vt:vector>
  </TitlesOfParts>
  <Manager>R225</Manager>
  <Company>OFFICE of LEGISLATIVE SERVICES</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A1586</dc:title>
  <dc:creator>Assemblyman  HOUGHTALING, Assemblywoman  DOWNEY</dc:creator>
  <cp:keywords>A1586|6|LG |317|0|0|!|0|</cp:keywords>
  <dc:description>PREFILED 2020</dc:description>
  <cp:lastModifiedBy>Siracusa, Nicole</cp:lastModifiedBy>
  <cp:revision>2</cp:revision>
  <cp:lastPrinted>2005-07-29T18:13:00Z</cp:lastPrinted>
  <dcterms:created xsi:type="dcterms:W3CDTF">2020-01-09T21:09:00Z</dcterms:created>
  <dcterms:modified xsi:type="dcterms:W3CDTF">2020-01-09T21:09:00Z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