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9BA" w:rsidRDefault="00D239BA" w:rsidP="00D239BA">
      <w:pPr>
        <w:pStyle w:val="bpuBill"/>
      </w:pPr>
      <w:bookmarkStart w:id="0" w:name="bpuFrontPg"/>
      <w:bookmarkStart w:id="1" w:name="_GoBack"/>
      <w:bookmarkEnd w:id="0"/>
      <w:bookmarkEnd w:id="1"/>
      <w:r>
        <w:t xml:space="preserve">ASSEMBLY, No. 1589 </w:t>
      </w:r>
    </w:p>
    <w:p w:rsidR="00D239BA" w:rsidRPr="00D239BA" w:rsidRDefault="00D239BA" w:rsidP="00D239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443" r:id="rId8"/>
        </w:object>
      </w:r>
    </w:p>
    <w:p w:rsidR="00D239BA" w:rsidRDefault="00D239BA" w:rsidP="00D239BA">
      <w:pPr>
        <w:pStyle w:val="bpuState"/>
      </w:pPr>
      <w:r>
        <w:t>STATE OF NEW JERSEY</w:t>
      </w:r>
    </w:p>
    <w:p w:rsidR="00D239BA" w:rsidRDefault="00D239BA" w:rsidP="00D239BA">
      <w:pPr>
        <w:pStyle w:val="bpuLegislature"/>
      </w:pPr>
      <w:r>
        <w:t>219th LEGISLATURE</w:t>
      </w:r>
    </w:p>
    <w:p w:rsidR="00D239BA" w:rsidRDefault="00D239BA" w:rsidP="00D239BA">
      <w:pPr>
        <w:pStyle w:val="bpuWpGraphic"/>
      </w:pPr>
      <w:r>
        <w:object w:dxaOrig="8985" w:dyaOrig="255">
          <v:shape id="_x0000_i1026" type="#_x0000_t75" style="width:6in;height:12pt" o:ole="">
            <v:imagedata r:id="rId7" o:title=""/>
          </v:shape>
          <o:OLEObject Type="Embed" ProgID="WPWin6.1" ShapeID="_x0000_i1026" DrawAspect="Content" ObjectID="_1640091444" r:id="rId9"/>
        </w:object>
      </w:r>
      <w:r>
        <w:t xml:space="preserve">  </w:t>
      </w:r>
    </w:p>
    <w:p w:rsidR="00D239BA" w:rsidRDefault="00D239BA" w:rsidP="00D239BA">
      <w:pPr>
        <w:pStyle w:val="bpuIntro"/>
      </w:pPr>
      <w:r>
        <w:t>PRE-FILED FOR INTRODUCTION IN THE 2020 SESSION</w:t>
      </w:r>
    </w:p>
    <w:p w:rsidR="00D239BA" w:rsidRDefault="00D239BA" w:rsidP="00D239BA">
      <w:pPr>
        <w:pStyle w:val="bpuIntro"/>
      </w:pPr>
    </w:p>
    <w:p w:rsidR="00D239BA" w:rsidRDefault="00D239BA" w:rsidP="00D239BA">
      <w:pPr>
        <w:pStyle w:val="bpuIntro"/>
        <w:sectPr w:rsidR="00D239BA" w:rsidSect="00D239BA">
          <w:headerReference w:type="even" r:id="rId10"/>
          <w:headerReference w:type="default" r:id="rId11"/>
          <w:pgSz w:w="12240" w:h="20160" w:code="5"/>
          <w:pgMar w:top="2160" w:right="1440" w:bottom="1440" w:left="1440" w:header="720" w:footer="720" w:gutter="0"/>
          <w:pgNumType w:start="1"/>
          <w:cols w:space="720"/>
          <w:docGrid w:linePitch="360"/>
        </w:sectPr>
      </w:pPr>
    </w:p>
    <w:p w:rsidR="00D239BA" w:rsidRDefault="00D239BA" w:rsidP="00D239BA">
      <w:pPr>
        <w:pStyle w:val="bpuIntro"/>
      </w:pPr>
    </w:p>
    <w:p w:rsidR="00D239BA" w:rsidRDefault="00D239BA" w:rsidP="00D239BA">
      <w:pPr>
        <w:pStyle w:val="bpuSponsor"/>
      </w:pPr>
      <w:r>
        <w:t>Sponsored by:</w:t>
      </w:r>
    </w:p>
    <w:p w:rsidR="00D239BA" w:rsidRDefault="00D239BA" w:rsidP="00D239BA">
      <w:pPr>
        <w:pStyle w:val="bpuSponsor"/>
      </w:pPr>
      <w:r>
        <w:t>Assemblyman  ERIC HOUGHTALING</w:t>
      </w:r>
    </w:p>
    <w:p w:rsidR="00D239BA" w:rsidRDefault="00D239BA" w:rsidP="00D239BA">
      <w:pPr>
        <w:pStyle w:val="bpuSponsor"/>
      </w:pPr>
      <w:r>
        <w:t>District 11 (Monmouth)</w:t>
      </w:r>
    </w:p>
    <w:p w:rsidR="00D239BA" w:rsidRDefault="00D239BA" w:rsidP="00D239BA">
      <w:pPr>
        <w:pStyle w:val="bpuSponsor"/>
      </w:pPr>
      <w:r>
        <w:t>Assemblywoman  LINDA S. CARTER</w:t>
      </w:r>
    </w:p>
    <w:p w:rsidR="00D239BA" w:rsidRDefault="00D239BA" w:rsidP="00D239BA">
      <w:pPr>
        <w:pStyle w:val="bpuSponsor"/>
      </w:pPr>
      <w:r>
        <w:t>District 22 (Middlesex, Somerset and Union)</w:t>
      </w:r>
    </w:p>
    <w:p w:rsidR="00D239BA" w:rsidRDefault="00D239BA" w:rsidP="00D239BA">
      <w:pPr>
        <w:pStyle w:val="bpuSponsor"/>
      </w:pPr>
      <w:r>
        <w:t>Assemblywoman  JOANN DOWNEY</w:t>
      </w:r>
    </w:p>
    <w:p w:rsidR="00D239BA" w:rsidRDefault="00D239BA" w:rsidP="00D239BA">
      <w:pPr>
        <w:pStyle w:val="bpuSponsor"/>
      </w:pPr>
      <w:r>
        <w:t>District 11 (Monmouth)</w:t>
      </w:r>
    </w:p>
    <w:p w:rsidR="00D239BA" w:rsidRDefault="00D239BA" w:rsidP="00D239BA">
      <w:pPr>
        <w:pStyle w:val="bpuSponsor"/>
      </w:pPr>
    </w:p>
    <w:p w:rsidR="00D239BA" w:rsidRDefault="00D239BA" w:rsidP="00D239BA">
      <w:pPr>
        <w:pStyle w:val="bpuSponsor"/>
      </w:pPr>
      <w:r>
        <w:t>Co-Sponsored by:</w:t>
      </w:r>
    </w:p>
    <w:p w:rsidR="00D239BA" w:rsidRDefault="00D239BA" w:rsidP="00D239BA">
      <w:pPr>
        <w:pStyle w:val="bpuSponsor"/>
      </w:pPr>
      <w:r w:rsidRPr="00D239BA">
        <w:t xml:space="preserve">Assemblywoman </w:t>
      </w:r>
      <w:proofErr w:type="spellStart"/>
      <w:r w:rsidRPr="00D239BA">
        <w:t>Vainieri</w:t>
      </w:r>
      <w:proofErr w:type="spellEnd"/>
      <w:r w:rsidRPr="00D239BA">
        <w:t xml:space="preserve"> </w:t>
      </w:r>
      <w:proofErr w:type="spellStart"/>
      <w:r w:rsidRPr="00D239BA">
        <w:t>Huttle</w:t>
      </w:r>
      <w:proofErr w:type="spellEnd"/>
      <w:r w:rsidRPr="00D239BA">
        <w:t xml:space="preserve"> and Assemblyman Rooney</w:t>
      </w:r>
    </w:p>
    <w:p w:rsidR="00D239BA" w:rsidRDefault="00D239BA" w:rsidP="00D239BA"/>
    <w:p w:rsidR="00D239BA" w:rsidRPr="00D239BA" w:rsidRDefault="00D239BA" w:rsidP="00D239BA"/>
    <w:p w:rsidR="00D239BA" w:rsidRDefault="00D239BA" w:rsidP="00D239BA">
      <w:pPr>
        <w:pStyle w:val="bpuSponsor"/>
      </w:pPr>
    </w:p>
    <w:p w:rsidR="00D239BA" w:rsidRDefault="00D239BA" w:rsidP="00D239BA">
      <w:pPr>
        <w:pStyle w:val="bpuSponsor"/>
      </w:pPr>
    </w:p>
    <w:p w:rsidR="00D239BA" w:rsidRDefault="00D239BA" w:rsidP="00D239BA">
      <w:pPr>
        <w:pStyle w:val="bpuSponsor"/>
      </w:pPr>
      <w:r>
        <w:t>SYNOPSIS</w:t>
      </w:r>
    </w:p>
    <w:p w:rsidR="00D239BA" w:rsidRDefault="00D239BA" w:rsidP="00D239BA">
      <w:pPr>
        <w:pStyle w:val="bpuNormText"/>
      </w:pPr>
      <w:r>
        <w:tab/>
        <w:t xml:space="preserve">Concerns prescriptions of certain schedule II controlled dangerous substances and opioids. </w:t>
      </w:r>
    </w:p>
    <w:p w:rsidR="00D239BA" w:rsidRDefault="00D239BA" w:rsidP="00D239BA">
      <w:pPr>
        <w:pStyle w:val="bpuNormText"/>
      </w:pPr>
    </w:p>
    <w:p w:rsidR="00D239BA" w:rsidRDefault="00D239BA" w:rsidP="00D239BA">
      <w:pPr>
        <w:pStyle w:val="bpuSponsor"/>
      </w:pPr>
      <w:r>
        <w:t xml:space="preserve">CURRENT VERSION OF TEXT </w:t>
      </w:r>
    </w:p>
    <w:p w:rsidR="00D239BA" w:rsidRDefault="00D239BA" w:rsidP="00D239BA">
      <w:pPr>
        <w:pStyle w:val="bpuNormText"/>
      </w:pPr>
      <w:r>
        <w:tab/>
        <w:t>Introduced Pending Technical Review by Legislative Counsel.</w:t>
      </w:r>
    </w:p>
    <w:p w:rsidR="00D239BA" w:rsidRDefault="00D239BA" w:rsidP="00D239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39BA" w:rsidRDefault="00D239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39BA" w:rsidSect="00D239BA">
          <w:type w:val="continuous"/>
          <w:pgSz w:w="12240" w:h="20160" w:code="5"/>
          <w:pgMar w:top="2160" w:right="2275" w:bottom="1440" w:left="2275" w:header="72" w:footer="720" w:gutter="0"/>
          <w:pgNumType w:start="1"/>
          <w:cols w:space="720"/>
          <w:docGrid w:linePitch="360"/>
        </w:sectPr>
      </w:pPr>
    </w:p>
    <w:p w:rsidR="00E54AD9" w:rsidRPr="00677316" w:rsidRDefault="00E54AD9" w:rsidP="00E54AD9">
      <w:pPr>
        <w:pStyle w:val="HangingAnAct"/>
        <w:rPr>
          <w:rStyle w:val="HangingAnActChar"/>
        </w:rPr>
      </w:pPr>
      <w:r w:rsidRPr="00E54AD9">
        <w:rPr>
          <w:rStyle w:val="BillHead"/>
        </w:rPr>
        <w:lastRenderedPageBreak/>
        <w:t>An Act</w:t>
      </w:r>
      <w:r w:rsidRPr="006B7FA7">
        <w:rPr>
          <w:rStyle w:val="HangingAnActChar"/>
        </w:rPr>
        <w:t xml:space="preserve"> </w:t>
      </w:r>
      <w:r w:rsidRPr="0081677E">
        <w:rPr>
          <w:rStyle w:val="HangingAnActChar"/>
        </w:rPr>
        <w:t>concerning certain prescriptions and amending P.L.2017, c.28.</w:t>
      </w:r>
    </w:p>
    <w:p w:rsidR="00E54AD9" w:rsidRPr="00D71D68" w:rsidRDefault="00E54AD9" w:rsidP="00E54AD9"/>
    <w:p w:rsidR="00E54AD9" w:rsidRPr="00AA7880" w:rsidRDefault="00E54AD9" w:rsidP="00E54AD9">
      <w:r>
        <w:tab/>
      </w:r>
      <w:r>
        <w:rPr>
          <w:rStyle w:val="BillHeading2"/>
        </w:rPr>
        <w:t xml:space="preserve">Be It Enacted </w:t>
      </w:r>
      <w:r>
        <w:rPr>
          <w:rStyle w:val="BillLanguage"/>
        </w:rPr>
        <w:t>by the Senate and General Assembly of the State of New Jersey:</w:t>
      </w:r>
    </w:p>
    <w:p w:rsidR="00E54AD9" w:rsidRDefault="00E54AD9" w:rsidP="00E54AD9"/>
    <w:p w:rsidR="00E54AD9" w:rsidRDefault="00E54AD9" w:rsidP="00E54AD9">
      <w:r>
        <w:tab/>
        <w:t>1.</w:t>
      </w:r>
      <w:r>
        <w:tab/>
        <w:t xml:space="preserve">Section 11 of P.L.2017, c.28 (C.24:21-15.2) is amended to read as follows:  </w:t>
      </w:r>
    </w:p>
    <w:p w:rsidR="00E54AD9" w:rsidRDefault="00E54AD9" w:rsidP="00E54AD9">
      <w:r>
        <w:tab/>
        <w:t>11.</w:t>
      </w:r>
      <w:r>
        <w:tab/>
        <w:t xml:space="preserve">a.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r>
        <w:rPr>
          <w:u w:val="single"/>
        </w:rPr>
        <w:t xml:space="preserve">and for the shortest period of time that is possible, as determined by the </w:t>
      </w:r>
      <w:r w:rsidRPr="001205D6">
        <w:rPr>
          <w:u w:val="single"/>
        </w:rPr>
        <w:t>practitioner</w:t>
      </w:r>
      <w:r>
        <w:t xml:space="preserve">.  </w:t>
      </w:r>
    </w:p>
    <w:p w:rsidR="00E54AD9" w:rsidRDefault="00E54AD9" w:rsidP="00E54AD9">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E54AD9" w:rsidRDefault="00E54AD9" w:rsidP="00E54AD9">
      <w:r>
        <w:tab/>
        <w:t>(1)</w:t>
      </w:r>
      <w:r>
        <w:tab/>
        <w:t>take and document the results of a thorough medical history, including the patient's experience with non-opioid medication and non-pharmacological pain management approaches and substance abuse history;</w:t>
      </w:r>
    </w:p>
    <w:p w:rsidR="00E54AD9" w:rsidRDefault="00E54AD9" w:rsidP="00E54AD9">
      <w:r>
        <w:tab/>
        <w:t>(2)</w:t>
      </w:r>
      <w:r>
        <w:tab/>
        <w:t>conduct, as appropriate, and document the results of a physical examination;</w:t>
      </w:r>
    </w:p>
    <w:p w:rsidR="00E54AD9" w:rsidRDefault="00E54AD9" w:rsidP="00E54AD9">
      <w:r>
        <w:tab/>
        <w:t>(3)</w:t>
      </w:r>
      <w:r>
        <w:tab/>
        <w:t>develop a treatment plan, with particular attention focused on determining the cause of the patient's pain;</w:t>
      </w:r>
    </w:p>
    <w:p w:rsidR="00E54AD9" w:rsidRDefault="00E54AD9" w:rsidP="00E54AD9">
      <w:r>
        <w:tab/>
        <w:t>(4)</w:t>
      </w:r>
      <w:r>
        <w:tab/>
        <w:t xml:space="preserve">access relevant prescription monitoring information under the Prescription Monitoring Program pursuant to section 8 of P.L.2015, c.74 (C. 45:1-46.1); </w:t>
      </w:r>
      <w:r w:rsidRPr="00C01BBE">
        <w:rPr>
          <w:rFonts w:ascii="Albertus Extra Bold" w:hAnsi="Albertus Extra Bold"/>
          <w:b/>
        </w:rPr>
        <w:t>[</w:t>
      </w:r>
      <w:r>
        <w:t>and</w:t>
      </w:r>
      <w:r w:rsidRPr="00C01BBE">
        <w:rPr>
          <w:rFonts w:ascii="Albertus Extra Bold" w:hAnsi="Albertus Extra Bold"/>
          <w:b/>
        </w:rPr>
        <w:t>]</w:t>
      </w:r>
    </w:p>
    <w:p w:rsidR="00E54AD9" w:rsidRDefault="00E54AD9" w:rsidP="00E54AD9">
      <w:pPr>
        <w:rPr>
          <w:u w:val="single"/>
        </w:rPr>
      </w:pPr>
      <w:r>
        <w:tab/>
        <w:t>(5)</w:t>
      </w:r>
      <w:r>
        <w:tab/>
        <w:t>limit the supply of any opioid drug prescribed for acute pain to a duration of no more than five days as determined by the directed dosage and frequency of dosage</w:t>
      </w:r>
      <w:r>
        <w:rPr>
          <w:u w:val="single"/>
        </w:rPr>
        <w:t>; and</w:t>
      </w:r>
    </w:p>
    <w:p w:rsidR="00E54AD9" w:rsidRDefault="00E54AD9" w:rsidP="00E54AD9">
      <w:r>
        <w:tab/>
      </w:r>
      <w:r>
        <w:rPr>
          <w:u w:val="single"/>
        </w:rPr>
        <w:t>(6)</w:t>
      </w:r>
      <w:r>
        <w:rPr>
          <w:u w:val="single"/>
        </w:rPr>
        <w:tab/>
        <w:t>consider alternatives to the prescription of</w:t>
      </w:r>
      <w:r w:rsidRPr="00C01BBE">
        <w:rPr>
          <w:u w:val="single"/>
        </w:rPr>
        <w:t xml:space="preserve"> a Schedule II controlled dangerous substance or any other opioid drug</w:t>
      </w:r>
      <w:r>
        <w:rPr>
          <w:u w:val="single"/>
        </w:rPr>
        <w:t>,</w:t>
      </w:r>
      <w:r w:rsidRPr="00C01BBE">
        <w:rPr>
          <w:u w:val="single"/>
        </w:rPr>
        <w:t xml:space="preserve"> </w:t>
      </w:r>
      <w:r>
        <w:rPr>
          <w:u w:val="single"/>
        </w:rPr>
        <w:t xml:space="preserve">such as the use of non-opioid medications, nerve-blocking treatments, </w:t>
      </w:r>
      <w:r w:rsidRPr="001205D6">
        <w:rPr>
          <w:u w:val="single"/>
        </w:rPr>
        <w:t>nitrous oxide</w:t>
      </w:r>
      <w:r>
        <w:rPr>
          <w:u w:val="single"/>
        </w:rPr>
        <w:t>, or any other non-addictive treatments</w:t>
      </w:r>
      <w:r w:rsidRPr="00297A13">
        <w:t>.</w:t>
      </w:r>
    </w:p>
    <w:p w:rsidR="00E54AD9" w:rsidRDefault="00E54AD9" w:rsidP="00E54AD9">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E54AD9" w:rsidRDefault="00E54AD9" w:rsidP="00E54AD9">
      <w:r>
        <w:tab/>
        <w:t>(1)</w:t>
      </w:r>
      <w:r>
        <w:tab/>
        <w:t>the subsequent prescription would not be deemed an initial prescription under this section;</w:t>
      </w:r>
    </w:p>
    <w:p w:rsidR="00E54AD9" w:rsidRDefault="00E54AD9" w:rsidP="00E54AD9">
      <w:r>
        <w:lastRenderedPageBreak/>
        <w:tab/>
        <w:t>(2)</w:t>
      </w:r>
      <w:r>
        <w:tab/>
        <w:t>the practitioner determines the prescription is necessary and appropriate to the patient's treatment needs and documents the rationale for the issuance of the subsequent prescription; and</w:t>
      </w:r>
    </w:p>
    <w:p w:rsidR="00E54AD9" w:rsidRDefault="00E54AD9" w:rsidP="00E54AD9">
      <w:r>
        <w:tab/>
        <w:t>(3)</w:t>
      </w:r>
      <w:r>
        <w:tab/>
        <w:t>the practitioner determines that issuance of the subsequent prescription does not present an undue risk of abuse, addiction, or diversion and documents that determination.</w:t>
      </w:r>
    </w:p>
    <w:p w:rsidR="00E54AD9" w:rsidRDefault="00E54AD9" w:rsidP="00E54AD9">
      <w:r>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E54AD9" w:rsidRDefault="00E54AD9" w:rsidP="00E54AD9">
      <w:r>
        <w:tab/>
        <w:t>(1)</w:t>
      </w:r>
      <w:r>
        <w:tab/>
        <w:t>the risks of addiction and overdose associated with opioid drugs and the dangers of taking opioid drugs with alcohol, benzodiazepines and other central nervous system depressants;</w:t>
      </w:r>
    </w:p>
    <w:p w:rsidR="00E54AD9" w:rsidRDefault="00E54AD9" w:rsidP="00E54AD9">
      <w:r>
        <w:tab/>
        <w:t>(2)</w:t>
      </w:r>
      <w:r>
        <w:tab/>
        <w:t xml:space="preserve">the reasons why the prescription is necessary; </w:t>
      </w:r>
    </w:p>
    <w:p w:rsidR="00E54AD9" w:rsidRDefault="00E54AD9" w:rsidP="00E54AD9">
      <w:r>
        <w:tab/>
        <w:t>(3)</w:t>
      </w:r>
      <w:r>
        <w:tab/>
        <w:t>alternative treatments that may be available; and</w:t>
      </w:r>
    </w:p>
    <w:p w:rsidR="00E54AD9" w:rsidRDefault="00E54AD9" w:rsidP="00E54AD9">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E54AD9" w:rsidRDefault="00E54AD9" w:rsidP="00E54AD9">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E54AD9" w:rsidRDefault="00E54AD9" w:rsidP="00E54AD9">
      <w:r>
        <w:tab/>
        <w:t>e.</w:t>
      </w:r>
      <w:r>
        <w:tab/>
        <w:t>Prior to the commencement of an ongoing course of treatment for chronic pain with a Schedule II controlled dangerous substance or any opioid, the practitioner shall enter into a pain management agreement with the patient.</w:t>
      </w:r>
    </w:p>
    <w:p w:rsidR="00E54AD9" w:rsidRDefault="00E54AD9" w:rsidP="00E54AD9">
      <w:r>
        <w:tab/>
        <w:t>f.</w:t>
      </w:r>
      <w:r>
        <w:tab/>
        <w:t>When a Schedule II controlled dangerous substance or any other prescription opioid drug is continuously prescribed for three months or more for chronic pain, the practitioner shall:</w:t>
      </w:r>
    </w:p>
    <w:p w:rsidR="00E54AD9" w:rsidRDefault="00E54AD9" w:rsidP="00E54AD9">
      <w:r>
        <w:tab/>
        <w:t>(1)</w:t>
      </w:r>
      <w:r>
        <w:tab/>
        <w:t>review, at a minimum of every three months, the course of treatment, any new information about the etiology of the pain, and the patient's progress toward treatment objectives and document the results of that review;</w:t>
      </w:r>
    </w:p>
    <w:p w:rsidR="00E54AD9" w:rsidRDefault="00E54AD9" w:rsidP="00E54AD9">
      <w:r>
        <w:tab/>
        <w:t>(2)</w:t>
      </w:r>
      <w:r>
        <w:tab/>
        <w:t xml:space="preserve">assess the patient prior to every renewal to determine whether the patient is experiencing problems associated with </w:t>
      </w:r>
      <w:r>
        <w:lastRenderedPageBreak/>
        <w:t>physical and psychological dependence and document the results of that assessment;</w:t>
      </w:r>
    </w:p>
    <w:p w:rsidR="00E54AD9" w:rsidRDefault="00E54AD9" w:rsidP="00E54AD9">
      <w:r>
        <w:tab/>
        <w:t>(3)</w:t>
      </w:r>
      <w:r>
        <w:tab/>
        <w:t>periodically make reasonable efforts, unless clinically contraindicated, to either stop the use of the controlled substance, decrease the dosage, try other drugs or treatment modalities in an effort to reduce the potential for abuse or the development of physical or psychological dependence and document with specificity the efforts undertaken;</w:t>
      </w:r>
    </w:p>
    <w:p w:rsidR="00E54AD9" w:rsidRDefault="00E54AD9" w:rsidP="00E54AD9">
      <w:r>
        <w:tab/>
        <w:t>(4)</w:t>
      </w:r>
      <w:r>
        <w:tab/>
        <w:t>review the Prescription Drug Monitoring information in accordance with section 8 of P.L.2015, c.74 (C. 45:1-46.1); and</w:t>
      </w:r>
    </w:p>
    <w:p w:rsidR="00E54AD9" w:rsidRDefault="00E54AD9" w:rsidP="00E54AD9">
      <w:r>
        <w:tab/>
        <w:t>(5)</w:t>
      </w:r>
      <w:r>
        <w:tab/>
        <w:t>monitor compliance with the pain management agreement and any recommendations that the patient seek a referral.</w:t>
      </w:r>
    </w:p>
    <w:p w:rsidR="00E54AD9" w:rsidRDefault="00E54AD9" w:rsidP="00E54AD9">
      <w:r>
        <w:tab/>
        <w:t>g.</w:t>
      </w:r>
      <w:r>
        <w:tab/>
        <w:t>As used in this section:</w:t>
      </w:r>
    </w:p>
    <w:p w:rsidR="00E54AD9" w:rsidRDefault="00E54AD9" w:rsidP="00E54AD9">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E54AD9" w:rsidRDefault="00E54AD9" w:rsidP="00E54AD9">
      <w:r>
        <w:tab/>
        <w:t xml:space="preserve">"Chronic pain" means pain that persists or recurs for more than three months.  </w:t>
      </w:r>
    </w:p>
    <w:p w:rsidR="00E54AD9" w:rsidRDefault="00E54AD9" w:rsidP="00E54AD9">
      <w:r>
        <w:tab/>
        <w:t>"Initial prescription" means a prescription issued to a patient who:</w:t>
      </w:r>
    </w:p>
    <w:p w:rsidR="00E54AD9" w:rsidRDefault="00E54AD9" w:rsidP="00E54AD9">
      <w:r>
        <w:tab/>
        <w:t>(1)</w:t>
      </w:r>
      <w:r>
        <w:tab/>
        <w:t>has never previously been issued a prescription for the drug or its pharmaceutical equivalent; or</w:t>
      </w:r>
    </w:p>
    <w:p w:rsidR="00E54AD9" w:rsidRDefault="00E54AD9" w:rsidP="00E54AD9">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E54AD9" w:rsidRDefault="00E54AD9" w:rsidP="00E54AD9">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E54AD9" w:rsidRDefault="00E54AD9" w:rsidP="00E54AD9">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E54AD9" w:rsidRDefault="00E54AD9" w:rsidP="00E54AD9">
      <w:r>
        <w:tab/>
        <w:t>(1)</w:t>
      </w:r>
      <w:r>
        <w:tab/>
        <w:t>prevent the possible development of physical or psychological dependence in the patient;</w:t>
      </w:r>
    </w:p>
    <w:p w:rsidR="00E54AD9" w:rsidRDefault="00E54AD9" w:rsidP="00E54AD9">
      <w:r>
        <w:tab/>
        <w:t>(2)</w:t>
      </w:r>
      <w:r>
        <w:tab/>
        <w:t>document the understanding of both the practitioner and the patient regarding the patient's pain management plan;</w:t>
      </w:r>
    </w:p>
    <w:p w:rsidR="00E54AD9" w:rsidRDefault="00E54AD9" w:rsidP="00E54AD9">
      <w:r>
        <w:tab/>
        <w:t>(3)</w:t>
      </w:r>
      <w:r>
        <w:tab/>
        <w:t xml:space="preserve">establish the patient's rights in association with treatment, and the patient's obligations in relation to the responsible use, discontinuation of use, and storage of Schedule II controlled </w:t>
      </w:r>
      <w:r>
        <w:br w:type="page"/>
      </w:r>
      <w:r>
        <w:lastRenderedPageBreak/>
        <w:t>dangerous substances, including any restrictions on the refill of prescriptions or the acceptance of Schedule II prescriptions from practitioners;</w:t>
      </w:r>
    </w:p>
    <w:p w:rsidR="00E54AD9" w:rsidRDefault="00E54AD9" w:rsidP="00E54AD9">
      <w:r>
        <w:tab/>
        <w:t>(4)</w:t>
      </w:r>
      <w:r>
        <w:tab/>
        <w:t>identify the specific medications and other modes of treatment, including physical therapy or exercise, relaxation, or psychological counseling, that are included as a part of the pain management plan;</w:t>
      </w:r>
    </w:p>
    <w:p w:rsidR="00E54AD9" w:rsidRDefault="00E54AD9" w:rsidP="00E54AD9">
      <w:r>
        <w:tab/>
        <w:t>(5)</w:t>
      </w:r>
      <w:r>
        <w:tab/>
        <w:t>specify the measures the practitioner may employ to monitor the patient's compliance, including but not limited to random specimen screens and pill counts; and</w:t>
      </w:r>
    </w:p>
    <w:p w:rsidR="00E54AD9" w:rsidRDefault="00E54AD9" w:rsidP="00E54AD9">
      <w:r>
        <w:tab/>
        <w:t>(6)</w:t>
      </w:r>
      <w:r>
        <w:tab/>
        <w:t>delineate the process for terminating the agreement, including the consequences if the practitioner has reason to believe that the patient is not complying with the terms of the agreement.</w:t>
      </w:r>
    </w:p>
    <w:p w:rsidR="00E54AD9" w:rsidRDefault="00E54AD9" w:rsidP="00E54AD9">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E54AD9" w:rsidRDefault="00E54AD9" w:rsidP="00E54AD9">
      <w:r>
        <w:tab/>
        <w:t>h.</w:t>
      </w:r>
      <w:r>
        <w:tab/>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E54AD9" w:rsidRDefault="00E54AD9" w:rsidP="00E54AD9">
      <w:r>
        <w:tab/>
      </w:r>
      <w:proofErr w:type="spellStart"/>
      <w:r>
        <w:t>i</w:t>
      </w:r>
      <w:proofErr w:type="spellEnd"/>
      <w:r>
        <w:t>.</w:t>
      </w:r>
      <w:r>
        <w:tab/>
        <w:t xml:space="preserve">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E54AD9" w:rsidRDefault="00E54AD9" w:rsidP="00E54AD9">
      <w:r>
        <w:tab/>
        <w:t>(1)</w:t>
      </w:r>
      <w:r>
        <w:tab/>
        <w:t xml:space="preserve">proportional between the cost sharing for a 30-day supply and the amount of drugs the patient was prescribed; or </w:t>
      </w:r>
    </w:p>
    <w:p w:rsidR="00E54AD9" w:rsidRDefault="00E54AD9" w:rsidP="00E54AD9">
      <w:r>
        <w:tab/>
        <w:t>(2)</w:t>
      </w:r>
      <w:r>
        <w:tab/>
        <w:t>equivalent to the cost sharing for a full 30-day supply of the opioid drug, provided that no additional cost sharing may be charged for any additional prescriptions for the remainder of the 30-day supply.</w:t>
      </w:r>
    </w:p>
    <w:p w:rsidR="00E54AD9" w:rsidRDefault="00E54AD9" w:rsidP="00E54AD9">
      <w:r>
        <w:t>(</w:t>
      </w:r>
      <w:proofErr w:type="spellStart"/>
      <w:r>
        <w:t>cf</w:t>
      </w:r>
      <w:proofErr w:type="spellEnd"/>
      <w:r>
        <w:t>: P.L.2017, c.341, s.1)</w:t>
      </w:r>
    </w:p>
    <w:p w:rsidR="00E54AD9" w:rsidRPr="00D71D68" w:rsidRDefault="00E54AD9" w:rsidP="00E54AD9"/>
    <w:p w:rsidR="00E54AD9" w:rsidRPr="00AA7880" w:rsidRDefault="00E54AD9" w:rsidP="00E54AD9">
      <w:r>
        <w:tab/>
        <w:t>2.</w:t>
      </w:r>
      <w:r>
        <w:tab/>
        <w:t>This act shall take effect 180 days after enactment.</w:t>
      </w:r>
    </w:p>
    <w:p w:rsidR="00E54AD9" w:rsidRDefault="00E54AD9" w:rsidP="00E54AD9"/>
    <w:p w:rsidR="00E54AD9" w:rsidRPr="00CE7BD8" w:rsidRDefault="00E54AD9" w:rsidP="00E54AD9"/>
    <w:p w:rsidR="00E54AD9" w:rsidRPr="00AA7880" w:rsidRDefault="00E54AD9" w:rsidP="00E54AD9">
      <w:pPr>
        <w:jc w:val="center"/>
      </w:pPr>
      <w:r w:rsidRPr="00D71D68">
        <w:t>STATEMENT</w:t>
      </w:r>
    </w:p>
    <w:p w:rsidR="00E54AD9" w:rsidRDefault="00E54AD9" w:rsidP="00E54AD9"/>
    <w:p w:rsidR="00E54AD9" w:rsidRDefault="00E54AD9" w:rsidP="00E54AD9">
      <w:r>
        <w:tab/>
        <w:t xml:space="preserve">This bill makes revisions to the law regarding opioid prescriptions.  Under the bill, an immediate-release opioid drug for </w:t>
      </w:r>
      <w:r>
        <w:lastRenderedPageBreak/>
        <w:t xml:space="preserve">acute pain is to be prescribed for the shortest </w:t>
      </w:r>
      <w:r w:rsidRPr="001205D6">
        <w:t>period</w:t>
      </w:r>
      <w:r>
        <w:t xml:space="preserve"> of time that is possible, as determined by prescribing health care practitioner.  The bill provides that, prior to issuing an initial prescription of a Schedule II controlled dangerous substance or any other opioid drug for acute or chronic pain, a practitioner is to </w:t>
      </w:r>
      <w:r w:rsidRPr="0081677E">
        <w:t xml:space="preserve">consider alternatives to </w:t>
      </w:r>
      <w:r>
        <w:t>the prescription of</w:t>
      </w:r>
      <w:r w:rsidRPr="0081677E">
        <w:t xml:space="preserve"> a Schedule II controlled dangerous substance or any other opioid drug</w:t>
      </w:r>
      <w:r>
        <w:t>,</w:t>
      </w:r>
      <w:r w:rsidRPr="0081677E">
        <w:t xml:space="preserve"> such as</w:t>
      </w:r>
      <w:r>
        <w:t xml:space="preserve"> the use of</w:t>
      </w:r>
      <w:r w:rsidRPr="0081677E">
        <w:t xml:space="preserve"> non-opioid medications, nerve-blocking treatments, nitrous oxide, or any other non-addictive treatment</w:t>
      </w:r>
      <w:r>
        <w:t>s</w:t>
      </w:r>
      <w:r w:rsidRPr="0081677E">
        <w:t>.</w:t>
      </w:r>
    </w:p>
    <w:sectPr w:rsidR="00E54AD9" w:rsidSect="006635E1">
      <w:headerReference w:type="default" r:id="rId13"/>
      <w:footerReference w:type="default" r:id="rId14"/>
      <w:headerReference w:type="first" r:id="rId15"/>
      <w:footerReference w:type="first" r:id="rId16"/>
      <w:pgSz w:w="12240" w:h="20160" w:code="5"/>
      <w:pgMar w:top="1440" w:right="2520" w:bottom="153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7E1" w:rsidRDefault="000927E1">
      <w:r>
        <w:separator/>
      </w:r>
    </w:p>
  </w:endnote>
  <w:endnote w:type="continuationSeparator" w:id="0">
    <w:p w:rsidR="000927E1" w:rsidRDefault="0009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F14" w:rsidRPr="00921C91" w:rsidRDefault="007C4F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4F14" w:rsidRPr="00921C91" w:rsidRDefault="007C4F14">
    <w:pPr>
      <w:pStyle w:val="Footer"/>
      <w:rPr>
        <w:szCs w:val="18"/>
      </w:rPr>
    </w:pPr>
  </w:p>
  <w:p w:rsidR="007C4F14" w:rsidRPr="00921C91" w:rsidRDefault="007C4F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4F14" w:rsidRDefault="007C4F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7E1" w:rsidRDefault="000927E1">
      <w:r>
        <w:separator/>
      </w:r>
    </w:p>
  </w:footnote>
  <w:footnote w:type="continuationSeparator" w:id="0">
    <w:p w:rsidR="000927E1" w:rsidRDefault="00092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0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39BA" w:rsidRDefault="00D239BA" w:rsidP="00D239BA">
    <w:pPr>
      <w:pStyle w:val="bpuHeadSpon"/>
    </w:pPr>
    <w:r w:rsidRPr="00D239BA">
      <w:rPr>
        <w:rStyle w:val="bpuHeadSponChar"/>
      </w:rPr>
      <w:t>A1589</w:t>
    </w:r>
    <w:r>
      <w:t xml:space="preserve"> HOUGHTALING, CARTER</w:t>
    </w:r>
  </w:p>
  <w:p w:rsidR="00D239BA" w:rsidRDefault="00D239BA" w:rsidP="00D239BA">
    <w:pPr>
      <w:pStyle w:val="bpuHeadSpon"/>
    </w:pPr>
    <w:r>
      <w:fldChar w:fldCharType="begin"/>
    </w:r>
    <w:r>
      <w:instrText xml:space="preserve"> PAGE  \* MERGEFORMAT </w:instrText>
    </w:r>
    <w:r>
      <w:fldChar w:fldCharType="separate"/>
    </w:r>
    <w:r w:rsidR="00883036">
      <w:rPr>
        <w:noProof/>
      </w:rPr>
      <w:t>6</w:t>
    </w:r>
    <w:r>
      <w:fldChar w:fldCharType="end"/>
    </w:r>
  </w:p>
  <w:p w:rsidR="00D239BA" w:rsidRPr="00AF575C" w:rsidRDefault="00D239BA" w:rsidP="00D239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39BA" w:rsidRDefault="00D239BA" w:rsidP="00D239BA">
    <w:pPr>
      <w:pStyle w:val="bpuHeadSpon"/>
    </w:pPr>
    <w:r w:rsidRPr="00D239BA">
      <w:rPr>
        <w:rStyle w:val="bpuHeadSponChar"/>
      </w:rPr>
      <w:t>A1589</w:t>
    </w:r>
    <w:r>
      <w:t xml:space="preserve"> HOUGHTALING, CARTER</w:t>
    </w:r>
  </w:p>
  <w:p w:rsidR="00D239BA" w:rsidRDefault="00D239BA" w:rsidP="00D239BA">
    <w:pPr>
      <w:pStyle w:val="bpuHeadSpon"/>
    </w:pPr>
    <w:r>
      <w:fldChar w:fldCharType="begin"/>
    </w:r>
    <w:r>
      <w:instrText xml:space="preserve"> PAGE  \* MERGEFORMAT </w:instrText>
    </w:r>
    <w:r>
      <w:fldChar w:fldCharType="separate"/>
    </w:r>
    <w:r w:rsidR="00883036">
      <w:rPr>
        <w:noProof/>
      </w:rPr>
      <w:t>2</w:t>
    </w:r>
    <w:r>
      <w:fldChar w:fldCharType="end"/>
    </w:r>
  </w:p>
  <w:p w:rsidR="00D239BA" w:rsidRDefault="00D239BA" w:rsidP="00D239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7E1"/>
    <w:rsid w:val="00095699"/>
    <w:rsid w:val="000A384F"/>
    <w:rsid w:val="000A5654"/>
    <w:rsid w:val="000A6268"/>
    <w:rsid w:val="000A66D5"/>
    <w:rsid w:val="000A7D31"/>
    <w:rsid w:val="000B3B59"/>
    <w:rsid w:val="000B64A4"/>
    <w:rsid w:val="000C657D"/>
    <w:rsid w:val="000D114D"/>
    <w:rsid w:val="000D6A40"/>
    <w:rsid w:val="000D6DFF"/>
    <w:rsid w:val="000E305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0C6"/>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307"/>
    <w:rsid w:val="002463CF"/>
    <w:rsid w:val="0026254F"/>
    <w:rsid w:val="00266FB9"/>
    <w:rsid w:val="00274341"/>
    <w:rsid w:val="0028159B"/>
    <w:rsid w:val="00296363"/>
    <w:rsid w:val="002A16E7"/>
    <w:rsid w:val="002A71FA"/>
    <w:rsid w:val="002B4DA4"/>
    <w:rsid w:val="002B67F7"/>
    <w:rsid w:val="002C58D4"/>
    <w:rsid w:val="002D527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5E1"/>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F14"/>
    <w:rsid w:val="007D0F64"/>
    <w:rsid w:val="007D69D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036"/>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968"/>
    <w:rsid w:val="00D0612B"/>
    <w:rsid w:val="00D06296"/>
    <w:rsid w:val="00D0784A"/>
    <w:rsid w:val="00D1283E"/>
    <w:rsid w:val="00D158BB"/>
    <w:rsid w:val="00D169D8"/>
    <w:rsid w:val="00D209A5"/>
    <w:rsid w:val="00D23780"/>
    <w:rsid w:val="00D239B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AD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DBF015-9B59-4A2C-98CC-19BB7B8C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3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A80CD-653B-4432-A2B4-99865FA75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1748</Words>
  <Characters>9684</Characters>
  <Application>Microsoft Office Word</Application>
  <DocSecurity>0</DocSecurity>
  <Lines>231</Lines>
  <Paragraphs>68</Paragraphs>
  <ScaleCrop>false</ScaleCrop>
  <HeadingPairs>
    <vt:vector size="2" baseType="variant">
      <vt:variant>
        <vt:lpstr>Title</vt:lpstr>
      </vt:variant>
      <vt:variant>
        <vt:i4>1</vt:i4>
      </vt:variant>
    </vt:vector>
  </HeadingPairs>
  <TitlesOfParts>
    <vt:vector size="1" baseType="lpstr">
      <vt:lpstr>A1589</vt:lpstr>
    </vt:vector>
  </TitlesOfParts>
  <Manager>R225</Manager>
  <Company>OFFICE of LEGISLATIVE SERVICES</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A1589</dc:title>
  <dc:creator>Assemblyman  HOUGHTALING, Assemblywoman  CARTER</dc:creator>
  <cp:keywords>A1589|6|LG |317|0|0|!|0|</cp:keywords>
  <dc:description>PREFILED 2020</dc:description>
  <cp:lastModifiedBy>Siracusa, Nicole</cp:lastModifiedBy>
  <cp:revision>2</cp:revision>
  <cp:lastPrinted>2005-07-29T18:13:00Z</cp:lastPrinted>
  <dcterms:created xsi:type="dcterms:W3CDTF">2020-01-09T21:08:00Z</dcterms:created>
  <dcterms:modified xsi:type="dcterms:W3CDTF">2020-01-09T21:08:00Z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