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F1B" w:rsidRDefault="00950F1B" w:rsidP="00950F1B">
      <w:pPr>
        <w:pStyle w:val="bpuReprint"/>
      </w:pPr>
      <w:bookmarkStart w:id="0" w:name="bpuFrontPg"/>
      <w:bookmarkStart w:id="1" w:name="_GoBack"/>
      <w:bookmarkEnd w:id="0"/>
      <w:bookmarkEnd w:id="1"/>
      <w:r>
        <w:t>[First Reprint]</w:t>
      </w:r>
    </w:p>
    <w:p w:rsidR="00C4647F" w:rsidRDefault="00C4647F" w:rsidP="00C4647F">
      <w:pPr>
        <w:pStyle w:val="bpuBill"/>
      </w:pPr>
      <w:r>
        <w:t xml:space="preserve">ASSEMBLY, No. 1659 </w:t>
      </w:r>
    </w:p>
    <w:p w:rsidR="00C4647F" w:rsidRPr="00C4647F" w:rsidRDefault="00C4647F" w:rsidP="00C464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96295" r:id="rId8"/>
        </w:object>
      </w:r>
    </w:p>
    <w:p w:rsidR="00C4647F" w:rsidRDefault="00C4647F" w:rsidP="00C4647F">
      <w:pPr>
        <w:pStyle w:val="bpuState"/>
      </w:pPr>
      <w:r>
        <w:t>STATE OF NEW JERSEY</w:t>
      </w:r>
    </w:p>
    <w:p w:rsidR="00C4647F" w:rsidRDefault="00C4647F" w:rsidP="00C4647F">
      <w:pPr>
        <w:pStyle w:val="bpuLegislature"/>
      </w:pPr>
      <w:r>
        <w:t>219th LEGISLATURE</w:t>
      </w:r>
    </w:p>
    <w:p w:rsidR="00C4647F" w:rsidRDefault="00C4647F" w:rsidP="00C4647F">
      <w:pPr>
        <w:pStyle w:val="bpuWpGraphic"/>
      </w:pPr>
      <w:r>
        <w:object w:dxaOrig="8985" w:dyaOrig="255">
          <v:shape id="_x0000_i1026" type="#_x0000_t75" style="width:6in;height:12pt" o:ole="">
            <v:imagedata r:id="rId7" o:title=""/>
          </v:shape>
          <o:OLEObject Type="Embed" ProgID="WPWin6.1" ShapeID="_x0000_i1026" DrawAspect="Content" ObjectID="_1700996296" r:id="rId9"/>
        </w:object>
      </w:r>
      <w:r>
        <w:t xml:space="preserve">  </w:t>
      </w:r>
    </w:p>
    <w:p w:rsidR="00C4647F" w:rsidRDefault="00C4647F" w:rsidP="00C4647F">
      <w:pPr>
        <w:pStyle w:val="bpuIntro"/>
      </w:pPr>
      <w:r>
        <w:t>PRE-FILED FOR INTRODUCTION IN THE 2020 SESSION</w:t>
      </w:r>
    </w:p>
    <w:p w:rsidR="00C4647F" w:rsidRDefault="00C4647F" w:rsidP="00C4647F">
      <w:pPr>
        <w:pStyle w:val="bpuIntro"/>
      </w:pPr>
    </w:p>
    <w:p w:rsidR="00C4647F" w:rsidRDefault="00C4647F" w:rsidP="00C4647F">
      <w:pPr>
        <w:pStyle w:val="bpuIntro"/>
        <w:sectPr w:rsidR="00C4647F" w:rsidSect="00146E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4647F" w:rsidRDefault="00C4647F" w:rsidP="00C4647F">
      <w:pPr>
        <w:pStyle w:val="bpuIntro"/>
      </w:pPr>
    </w:p>
    <w:p w:rsidR="00C4647F" w:rsidRDefault="00C4647F" w:rsidP="00C4647F">
      <w:pPr>
        <w:pStyle w:val="bpuSponsor"/>
      </w:pPr>
      <w:r>
        <w:t>Sponsored by:</w:t>
      </w:r>
    </w:p>
    <w:p w:rsidR="00C4647F" w:rsidRDefault="00C4647F" w:rsidP="00C4647F">
      <w:pPr>
        <w:pStyle w:val="bpuSponsor"/>
      </w:pPr>
      <w:r>
        <w:t>Assemblywoman  ANNETTE QUIJANO</w:t>
      </w:r>
    </w:p>
    <w:p w:rsidR="00C4647F" w:rsidRDefault="00C4647F" w:rsidP="00C4647F">
      <w:pPr>
        <w:pStyle w:val="bpuSponsor"/>
      </w:pPr>
      <w:r>
        <w:t>District 20 (Union)</w:t>
      </w:r>
    </w:p>
    <w:p w:rsidR="00C4647F" w:rsidRDefault="00C4647F" w:rsidP="00C4647F">
      <w:pPr>
        <w:pStyle w:val="bpuSponsor"/>
      </w:pPr>
      <w:r>
        <w:t>Assemblyman  JON M. BRAMNICK</w:t>
      </w:r>
    </w:p>
    <w:p w:rsidR="00C4647F" w:rsidRDefault="00C4647F" w:rsidP="00C4647F">
      <w:pPr>
        <w:pStyle w:val="bpuSponsor"/>
      </w:pPr>
      <w:r>
        <w:t>District 21 (Morris, Somerset and Union)</w:t>
      </w:r>
    </w:p>
    <w:p w:rsidR="00C4647F" w:rsidRDefault="00C4647F" w:rsidP="00C4647F">
      <w:pPr>
        <w:pStyle w:val="bpuSponsor"/>
      </w:pPr>
      <w:r>
        <w:t>Assemblyman  RAJ MUKHERJI</w:t>
      </w:r>
    </w:p>
    <w:p w:rsidR="00C4647F" w:rsidRDefault="00C4647F" w:rsidP="00C4647F">
      <w:pPr>
        <w:pStyle w:val="bpuSponsor"/>
      </w:pPr>
      <w:r>
        <w:t>District 33 (Hudson)</w:t>
      </w:r>
    </w:p>
    <w:p w:rsidR="00C4647F" w:rsidRDefault="00C4647F" w:rsidP="00C4647F">
      <w:pPr>
        <w:pStyle w:val="bpuSponsor"/>
      </w:pPr>
      <w:r>
        <w:t>Assemblywoman  SHAVONDA E. SUMTER</w:t>
      </w:r>
    </w:p>
    <w:p w:rsidR="00C4647F" w:rsidRDefault="00C4647F" w:rsidP="00C4647F">
      <w:pPr>
        <w:pStyle w:val="bpuSponsor"/>
      </w:pPr>
      <w:r>
        <w:t>District 35 (Bergen and Passaic)</w:t>
      </w:r>
    </w:p>
    <w:p w:rsidR="00C4647F" w:rsidRDefault="00C4647F" w:rsidP="00C4647F">
      <w:pPr>
        <w:pStyle w:val="bpuSponsor"/>
      </w:pPr>
      <w:r>
        <w:t>Assemblywoman  JOANN DOWNEY</w:t>
      </w:r>
    </w:p>
    <w:p w:rsidR="00C4647F" w:rsidRDefault="00C4647F" w:rsidP="00C4647F">
      <w:pPr>
        <w:pStyle w:val="bpuSponsor"/>
      </w:pPr>
      <w:r>
        <w:t>District 11 (Monmouth)</w:t>
      </w:r>
    </w:p>
    <w:p w:rsidR="00C4647F" w:rsidRDefault="00C4647F" w:rsidP="00C4647F">
      <w:pPr>
        <w:pStyle w:val="bpuSponsor"/>
      </w:pPr>
      <w:r>
        <w:t>Assemblyman  RONALD S. DANCER</w:t>
      </w:r>
    </w:p>
    <w:p w:rsidR="00C4647F" w:rsidRDefault="00C4647F" w:rsidP="00C4647F">
      <w:pPr>
        <w:pStyle w:val="bpuSponsor"/>
      </w:pPr>
      <w:r>
        <w:t>District 12 (Burlington, Middlesex, Monmouth and Ocean)</w:t>
      </w:r>
    </w:p>
    <w:p w:rsidR="00C4647F" w:rsidRDefault="00C4647F" w:rsidP="00C4647F">
      <w:pPr>
        <w:pStyle w:val="bpuSponsor"/>
      </w:pPr>
    </w:p>
    <w:p w:rsidR="00C4647F" w:rsidRDefault="00C4647F" w:rsidP="00C4647F">
      <w:pPr>
        <w:pStyle w:val="bpuSponsor"/>
      </w:pPr>
    </w:p>
    <w:p w:rsidR="00C4647F" w:rsidRDefault="00C4647F" w:rsidP="00C4647F"/>
    <w:p w:rsidR="00C4647F" w:rsidRPr="00C4647F" w:rsidRDefault="00C4647F" w:rsidP="00C4647F"/>
    <w:p w:rsidR="00C4647F" w:rsidRDefault="00C4647F" w:rsidP="00C4647F">
      <w:pPr>
        <w:pStyle w:val="bpuSponsor"/>
      </w:pPr>
      <w:r>
        <w:t>SYNOPSIS</w:t>
      </w:r>
    </w:p>
    <w:p w:rsidR="00C4647F" w:rsidRDefault="00C4647F" w:rsidP="00C4647F">
      <w:pPr>
        <w:pStyle w:val="bpuNormText"/>
      </w:pPr>
      <w:r>
        <w:tab/>
        <w:t>“New Jersey Insurance Fair Conduct Act.”</w:t>
      </w:r>
    </w:p>
    <w:p w:rsidR="00C4647F" w:rsidRDefault="00C4647F" w:rsidP="00C4647F">
      <w:pPr>
        <w:pStyle w:val="bpuNormText"/>
      </w:pPr>
    </w:p>
    <w:p w:rsidR="00C4647F" w:rsidRDefault="00C4647F" w:rsidP="00C4647F">
      <w:pPr>
        <w:pStyle w:val="bpuSponsor"/>
      </w:pPr>
      <w:r>
        <w:t xml:space="preserve">CURRENT VERSION OF TEXT </w:t>
      </w:r>
    </w:p>
    <w:p w:rsidR="00C4647F" w:rsidRDefault="00950F1B" w:rsidP="00C4647F">
      <w:pPr>
        <w:pStyle w:val="bpuNormText"/>
      </w:pPr>
      <w:r>
        <w:tab/>
        <w:t>As reported by the Assembly Financial Institutions and Insuranc</w:t>
      </w:r>
      <w:r w:rsidR="003656D9">
        <w:t>e Committee on December 13, 202</w:t>
      </w:r>
      <w:r>
        <w:t>1, with amendments.</w:t>
      </w:r>
    </w:p>
    <w:p w:rsidR="00C4647F" w:rsidRDefault="00C4647F" w:rsidP="00C464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647F" w:rsidRDefault="00C464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647F" w:rsidSect="00C4647F">
          <w:type w:val="continuous"/>
          <w:pgSz w:w="12240" w:h="20160" w:code="5"/>
          <w:pgMar w:top="2160" w:right="2275" w:bottom="1440" w:left="2275" w:header="72" w:footer="720" w:gutter="0"/>
          <w:pgNumType w:start="1"/>
          <w:cols w:space="720"/>
          <w:docGrid w:linePitch="360"/>
        </w:sectPr>
      </w:pPr>
    </w:p>
    <w:p w:rsidR="00D930DB" w:rsidRPr="00677316" w:rsidRDefault="00D930DB" w:rsidP="00D930DB">
      <w:pPr>
        <w:pStyle w:val="HangingAnAct"/>
        <w:rPr>
          <w:rStyle w:val="HangingAnActChar"/>
        </w:rPr>
      </w:pPr>
      <w:r w:rsidRPr="00D930DB">
        <w:rPr>
          <w:rStyle w:val="BillHead"/>
        </w:rPr>
        <w:lastRenderedPageBreak/>
        <w:t>An Act</w:t>
      </w:r>
      <w:r w:rsidRPr="006B7FA7">
        <w:rPr>
          <w:rStyle w:val="HangingAnActChar"/>
        </w:rPr>
        <w:t xml:space="preserve"> </w:t>
      </w:r>
      <w:r w:rsidRPr="00E9017C">
        <w:t>concerning certain unreasonable practices in the business of insurance and supplementing Title 17 of the Revised Statutes</w:t>
      </w:r>
      <w:r>
        <w:t>.</w:t>
      </w:r>
    </w:p>
    <w:p w:rsidR="00D930DB" w:rsidRPr="00D71D68" w:rsidRDefault="00D930DB" w:rsidP="00D930DB"/>
    <w:p w:rsidR="00D930DB" w:rsidRPr="00D71D68" w:rsidRDefault="00D930DB" w:rsidP="00D930DB">
      <w:r>
        <w:tab/>
      </w:r>
      <w:r>
        <w:rPr>
          <w:rStyle w:val="BillHeading2"/>
        </w:rPr>
        <w:t xml:space="preserve">Be It Enacted </w:t>
      </w:r>
      <w:r>
        <w:rPr>
          <w:rStyle w:val="BillLanguage"/>
        </w:rPr>
        <w:t>by the Senate and General Assembly of the State of New Jersey:</w:t>
      </w:r>
    </w:p>
    <w:p w:rsidR="00D930DB" w:rsidRDefault="00D930DB" w:rsidP="00D930DB"/>
    <w:p w:rsidR="00D930DB" w:rsidRDefault="00D930DB" w:rsidP="00D930DB">
      <w:r>
        <w:tab/>
        <w:t>1.</w:t>
      </w:r>
      <w:r>
        <w:tab/>
        <w:t>This act shall be known and may be cited as the “New Jersey Insurance Fair Conduct Act.”</w:t>
      </w:r>
    </w:p>
    <w:p w:rsidR="00D930DB" w:rsidRDefault="00D930DB" w:rsidP="00D930DB"/>
    <w:p w:rsidR="00950F1B" w:rsidRDefault="00950F1B" w:rsidP="00950F1B">
      <w:r>
        <w:tab/>
        <w:t>2.</w:t>
      </w:r>
      <w:r>
        <w:tab/>
        <w:t>As used in this act:</w:t>
      </w:r>
    </w:p>
    <w:p w:rsidR="00950F1B" w:rsidRDefault="00950F1B" w:rsidP="00950F1B">
      <w:r>
        <w:tab/>
        <w:t>"First-party claimant" or “claimant” means an individual</w:t>
      </w:r>
      <w:r>
        <w:rPr>
          <w:rFonts w:ascii="Albertus Extra Bold" w:hAnsi="Albertus Extra Bold"/>
          <w:b/>
          <w:vertAlign w:val="superscript"/>
        </w:rPr>
        <w:t>1</w:t>
      </w:r>
      <w:r w:rsidRPr="004D19D8">
        <w:rPr>
          <w:rFonts w:ascii="Albertus Extra Bold" w:hAnsi="Albertus Extra Bold"/>
          <w:b/>
        </w:rPr>
        <w:t>[</w:t>
      </w:r>
      <w:r>
        <w:t>, corporation, association, partnership or other legal entity</w:t>
      </w:r>
      <w:r w:rsidRPr="004D19D8">
        <w:rPr>
          <w:rFonts w:ascii="Albertus Extra Bold" w:hAnsi="Albertus Extra Bold"/>
          <w:b/>
        </w:rPr>
        <w:t>]</w:t>
      </w:r>
      <w:r>
        <w:t xml:space="preserve"> </w:t>
      </w:r>
      <w:r w:rsidRPr="004D19D8">
        <w:rPr>
          <w:u w:val="single"/>
        </w:rPr>
        <w:t>injured in a motor vehicle accident and entitled to the uninsured or underinsured motorist coverage of an insurance policy</w:t>
      </w:r>
      <w:r>
        <w:rPr>
          <w:rFonts w:ascii="Albertus Extra Bold" w:hAnsi="Albertus Extra Bold"/>
          <w:b/>
          <w:vertAlign w:val="superscript"/>
        </w:rPr>
        <w:t>1</w:t>
      </w:r>
      <w:r>
        <w:t xml:space="preserve"> asserting an entitlement to benefits owed directly to or on behalf of an insured under </w:t>
      </w:r>
      <w:r>
        <w:rPr>
          <w:rFonts w:ascii="Albertus Extra Bold" w:hAnsi="Albertus Extra Bold"/>
          <w:b/>
          <w:vertAlign w:val="superscript"/>
        </w:rPr>
        <w:t>1</w:t>
      </w:r>
      <w:r w:rsidRPr="00BD56E1">
        <w:rPr>
          <w:rFonts w:ascii="Albertus Extra Bold" w:hAnsi="Albertus Extra Bold"/>
          <w:b/>
        </w:rPr>
        <w:t>[</w:t>
      </w:r>
      <w:r>
        <w:t>an</w:t>
      </w:r>
      <w:r w:rsidRPr="00BD56E1">
        <w:rPr>
          <w:rFonts w:ascii="Albertus Extra Bold" w:hAnsi="Albertus Extra Bold"/>
          <w:b/>
        </w:rPr>
        <w:t>]</w:t>
      </w:r>
      <w:r>
        <w:t xml:space="preserve"> </w:t>
      </w:r>
      <w:r w:rsidRPr="00BD56E1">
        <w:rPr>
          <w:u w:val="single"/>
        </w:rPr>
        <w:t>that</w:t>
      </w:r>
      <w:r>
        <w:rPr>
          <w:rFonts w:ascii="Albertus Extra Bold" w:hAnsi="Albertus Extra Bold"/>
          <w:b/>
          <w:vertAlign w:val="superscript"/>
        </w:rPr>
        <w:t>1</w:t>
      </w:r>
      <w:r>
        <w:t xml:space="preserve"> insurance policy.</w:t>
      </w:r>
    </w:p>
    <w:p w:rsidR="00950F1B" w:rsidRPr="000942ED" w:rsidRDefault="00950F1B" w:rsidP="00950F1B">
      <w:r>
        <w:tab/>
        <w:t>"Insurer" means any individual, corporation, association, partnership or other legal entity which issues, executes, renews or delivers an insurance policy in this State, or which is responsible for determining claims made under the policy.</w:t>
      </w:r>
      <w:r w:rsidRPr="00B65B0C">
        <w:t xml:space="preserve"> </w:t>
      </w:r>
      <w:r w:rsidRPr="000942ED">
        <w:t>“Insurer” shall not include an insurance producer as defined in section 3 of P.L.2001, c.210 (C.17:22A-28) or a public entity.</w:t>
      </w:r>
    </w:p>
    <w:p w:rsidR="00950F1B" w:rsidRDefault="00950F1B" w:rsidP="00950F1B">
      <w:r w:rsidRPr="000942ED">
        <w:tab/>
        <w:t>"Public entity" means the State, any county, municipality, district, public authority, public agency and any other political subdivision or public body in the State, including a joint insurance fund of a public entity.</w:t>
      </w:r>
    </w:p>
    <w:p w:rsidR="00D930DB" w:rsidRDefault="00D930DB" w:rsidP="00D930DB"/>
    <w:p w:rsidR="00950F1B" w:rsidRDefault="00950F1B" w:rsidP="00950F1B">
      <w:r>
        <w:tab/>
        <w:t>3.</w:t>
      </w:r>
      <w:r>
        <w:tab/>
        <w:t xml:space="preserve">a.  In addition to the enforcement authority provided to the Commissioner of Banking and Insurance pursuant to the provisions of P.L.1947, c.379 (C.17:29B-1 et seq.) or any other law, a claimant may, regardless of any action by the commissioner, file a civil action in a court of competent jurisdiction against its </w:t>
      </w:r>
      <w:r>
        <w:rPr>
          <w:rFonts w:ascii="Albertus Extra Bold" w:hAnsi="Albertus Extra Bold"/>
          <w:b/>
          <w:vertAlign w:val="superscript"/>
        </w:rPr>
        <w:t>1</w:t>
      </w:r>
      <w:r w:rsidRPr="00D64D2B">
        <w:rPr>
          <w:u w:val="single"/>
        </w:rPr>
        <w:t>automobile</w:t>
      </w:r>
      <w:r>
        <w:rPr>
          <w:rFonts w:ascii="Albertus Extra Bold" w:hAnsi="Albertus Extra Bold"/>
          <w:b/>
          <w:vertAlign w:val="superscript"/>
        </w:rPr>
        <w:t>1</w:t>
      </w:r>
      <w:r>
        <w:t xml:space="preserve"> insurer for:</w:t>
      </w:r>
    </w:p>
    <w:p w:rsidR="00950F1B" w:rsidRDefault="00950F1B" w:rsidP="00950F1B">
      <w:r>
        <w:tab/>
        <w:t>(1)</w:t>
      </w:r>
      <w:r>
        <w:tab/>
        <w:t>an unreasonable delay or unreasonable denial of a claim for payment of benefits under an insurance policy; or</w:t>
      </w:r>
    </w:p>
    <w:p w:rsidR="00950F1B" w:rsidRDefault="00950F1B" w:rsidP="00950F1B">
      <w:r>
        <w:tab/>
        <w:t>(2)</w:t>
      </w:r>
      <w:r>
        <w:tab/>
        <w:t>any violation of the provisions of section 4 of P.L.1947, c.379 (C.17:29B-4).</w:t>
      </w:r>
    </w:p>
    <w:p w:rsidR="00950F1B" w:rsidRDefault="00950F1B" w:rsidP="00950F1B">
      <w:r>
        <w:tab/>
        <w:t>b.</w:t>
      </w:r>
      <w:r>
        <w:tab/>
        <w:t>In any action filed pursuant to this act, the claimant shall not be required to prove that the insurer’s actions were of such a frequency as to indicate a general business practice.</w:t>
      </w:r>
    </w:p>
    <w:p w:rsidR="00950F1B" w:rsidRPr="00CC2D46" w:rsidRDefault="00950F1B" w:rsidP="00950F1B">
      <w:pPr>
        <w:rPr>
          <w:b/>
          <w:u w:val="single"/>
          <w:vertAlign w:val="superscript"/>
        </w:rPr>
      </w:pPr>
      <w:r>
        <w:tab/>
      </w:r>
      <w:r w:rsidRPr="00BD4630">
        <w:t>c.</w:t>
      </w:r>
      <w:r w:rsidRPr="00BD4630">
        <w:tab/>
      </w:r>
      <w:r w:rsidR="003656D9">
        <w:rPr>
          <w:rFonts w:ascii="Albertus Extra Bold" w:hAnsi="Albertus Extra Bold"/>
          <w:b/>
          <w:vertAlign w:val="superscript"/>
        </w:rPr>
        <w:t>1</w:t>
      </w:r>
      <w:r w:rsidRPr="00CC2D46">
        <w:rPr>
          <w:u w:val="single"/>
        </w:rPr>
        <w:t xml:space="preserve">No rate increase shall be passed on to the consumer or policyholder as a result of compliance with P.L.    , c.    (C.        ) (pending before the Legislature as this bill) and </w:t>
      </w:r>
      <w:r>
        <w:rPr>
          <w:u w:val="single"/>
        </w:rPr>
        <w:t xml:space="preserve">dissemination of inaccurate or misleading information to </w:t>
      </w:r>
      <w:r w:rsidRPr="00CC2D46">
        <w:rPr>
          <w:u w:val="single"/>
        </w:rPr>
        <w:t>policyholders</w:t>
      </w:r>
      <w:r>
        <w:rPr>
          <w:u w:val="single"/>
        </w:rPr>
        <w:t xml:space="preserve"> or consumers </w:t>
      </w:r>
      <w:r>
        <w:rPr>
          <w:u w:val="single"/>
        </w:rPr>
        <w:lastRenderedPageBreak/>
        <w:t>concerning P.L.    , c.    (C.        ) (pending before the Legislature as this bill) shall be strictly prohibited</w:t>
      </w:r>
      <w:r w:rsidRPr="00CC2D46">
        <w:rPr>
          <w:u w:val="single"/>
        </w:rPr>
        <w:t>.</w:t>
      </w:r>
    </w:p>
    <w:p w:rsidR="00950F1B" w:rsidRDefault="00950F1B" w:rsidP="00950F1B">
      <w:r w:rsidRPr="00CC2D46">
        <w:tab/>
      </w:r>
      <w:r w:rsidRPr="00CC2D46">
        <w:rPr>
          <w:u w:val="single"/>
        </w:rPr>
        <w:t>d.</w:t>
      </w:r>
      <w:r w:rsidR="003656D9">
        <w:rPr>
          <w:rFonts w:ascii="Albertus Extra Bold" w:hAnsi="Albertus Extra Bold"/>
          <w:b/>
          <w:vertAlign w:val="superscript"/>
        </w:rPr>
        <w:t>1</w:t>
      </w:r>
      <w:r>
        <w:tab/>
        <w:t>Upon establishing that a violation of the provisions of this act has occurred, the plaintiff shall be entitled to</w:t>
      </w:r>
      <w:r>
        <w:rPr>
          <w:rFonts w:ascii="Albertus Extra Bold" w:hAnsi="Albertus Extra Bold"/>
          <w:b/>
          <w:vertAlign w:val="superscript"/>
        </w:rPr>
        <w:t>1</w:t>
      </w:r>
      <w:r w:rsidRPr="00E743AF">
        <w:rPr>
          <w:rFonts w:ascii="Albertus Extra Bold" w:hAnsi="Albertus Extra Bold"/>
          <w:b/>
        </w:rPr>
        <w:t>[</w:t>
      </w:r>
      <w:r>
        <w:t>:</w:t>
      </w:r>
    </w:p>
    <w:p w:rsidR="00950F1B" w:rsidRDefault="00950F1B" w:rsidP="00950F1B">
      <w:r>
        <w:tab/>
        <w:t>(1)</w:t>
      </w:r>
      <w:r w:rsidRPr="00E743AF">
        <w:rPr>
          <w:rFonts w:ascii="Albertus Extra Bold" w:hAnsi="Albertus Extra Bold"/>
          <w:b/>
        </w:rPr>
        <w:t>]</w:t>
      </w:r>
      <w:r>
        <w:rPr>
          <w:rFonts w:ascii="Albertus Extra Bold" w:hAnsi="Albertus Extra Bold"/>
          <w:b/>
          <w:vertAlign w:val="superscript"/>
        </w:rPr>
        <w:t>1</w:t>
      </w:r>
      <w:r>
        <w:t xml:space="preserve">  actual damages caused by the violation of this act</w:t>
      </w:r>
      <w:r>
        <w:rPr>
          <w:rFonts w:ascii="Albertus Extra Bold" w:hAnsi="Albertus Extra Bold"/>
          <w:b/>
          <w:vertAlign w:val="superscript"/>
        </w:rPr>
        <w:t>1</w:t>
      </w:r>
      <w:r w:rsidRPr="00D6166D">
        <w:rPr>
          <w:rFonts w:ascii="Albertus Extra Bold" w:hAnsi="Albertus Extra Bold"/>
          <w:b/>
        </w:rPr>
        <w:t>[</w:t>
      </w:r>
      <w:r>
        <w:t>;</w:t>
      </w:r>
    </w:p>
    <w:p w:rsidR="00950F1B" w:rsidRDefault="00950F1B" w:rsidP="00950F1B">
      <w:r>
        <w:tab/>
        <w:t>(2)</w:t>
      </w:r>
      <w:r>
        <w:tab/>
        <w:t>prejudgment interest, reasonable attorney’s fees, and all reasonable litigation expenses; and</w:t>
      </w:r>
    </w:p>
    <w:p w:rsidR="00950F1B" w:rsidRPr="002046ED" w:rsidRDefault="00950F1B" w:rsidP="00950F1B">
      <w:r>
        <w:tab/>
        <w:t>(3)</w:t>
      </w:r>
      <w:r>
        <w:tab/>
        <w:t>treble damages</w:t>
      </w:r>
      <w:r w:rsidRPr="00D6166D">
        <w:rPr>
          <w:rFonts w:ascii="Albertus Extra Bold" w:hAnsi="Albertus Extra Bold"/>
          <w:b/>
        </w:rPr>
        <w:t>]</w:t>
      </w:r>
      <w:r>
        <w:t xml:space="preserve"> </w:t>
      </w:r>
      <w:r w:rsidRPr="00D6166D">
        <w:rPr>
          <w:u w:val="single"/>
        </w:rPr>
        <w:t>which shall include, but need not be limited to, actual trial verdicts</w:t>
      </w:r>
      <w:r w:rsidRPr="00D6166D">
        <w:rPr>
          <w:rFonts w:ascii="Albertus Extra Bold" w:hAnsi="Albertus Extra Bold"/>
          <w:b/>
          <w:vertAlign w:val="superscript"/>
        </w:rPr>
        <w:t>1</w:t>
      </w:r>
      <w:r>
        <w:t>.</w:t>
      </w:r>
    </w:p>
    <w:p w:rsidR="00D930DB" w:rsidRDefault="00D930DB" w:rsidP="00D930DB"/>
    <w:p w:rsidR="00950F1B" w:rsidRDefault="00C4647F" w:rsidP="00950F1B">
      <w:r>
        <w:tab/>
      </w:r>
      <w:r w:rsidR="00D930DB">
        <w:t>4.</w:t>
      </w:r>
      <w:r w:rsidR="00D930DB">
        <w:tab/>
        <w:t>This act shall take effect immediately.</w:t>
      </w:r>
      <w:r>
        <w:t xml:space="preserve"> </w:t>
      </w:r>
    </w:p>
    <w:sectPr w:rsidR="00950F1B" w:rsidSect="003656D9">
      <w:headerReference w:type="default" r:id="rId14"/>
      <w:footerReference w:type="default" r:id="rId15"/>
      <w:headerReference w:type="first" r:id="rId16"/>
      <w:footerReference w:type="first" r:id="rId17"/>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406" w:rsidRDefault="00413406">
      <w:r>
        <w:separator/>
      </w:r>
    </w:p>
  </w:endnote>
  <w:endnote w:type="continuationSeparator" w:id="0">
    <w:p w:rsidR="00413406" w:rsidRDefault="0041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B4" w:rsidRDefault="00146EB4" w:rsidP="00146EB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F1B" w:rsidRPr="00921C91" w:rsidRDefault="00950F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0F1B" w:rsidRPr="00921C91" w:rsidRDefault="00950F1B">
    <w:pPr>
      <w:pStyle w:val="Footer"/>
      <w:rPr>
        <w:szCs w:val="18"/>
      </w:rPr>
    </w:pPr>
  </w:p>
  <w:p w:rsidR="00950F1B" w:rsidRPr="00921C91" w:rsidRDefault="00950F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F1B" w:rsidRDefault="00950F1B">
    <w:pPr>
      <w:pStyle w:val="Footer"/>
    </w:pPr>
    <w:r>
      <w:tab/>
      <w:t>Matter enclosed in superscript numerals has been adopted as follows:</w:t>
    </w:r>
  </w:p>
  <w:p w:rsidR="00950F1B" w:rsidRDefault="00950F1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w:t>
    </w:r>
    <w:r w:rsidR="003656D9">
      <w:rPr>
        <w:rFonts w:ascii="AlbertusExtraBold" w:hAnsi="AlbertusExtraBold"/>
      </w:rPr>
      <w:t>ndments adopted December 13, 20</w:t>
    </w:r>
    <w:r>
      <w:rPr>
        <w:rFonts w:ascii="AlbertusExtraBold" w:hAnsi="AlbertusExtraBold"/>
      </w:rPr>
      <w:t>21.</w:t>
    </w:r>
  </w:p>
  <w:p w:rsidR="00950F1B" w:rsidRPr="00950F1B" w:rsidRDefault="00950F1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406" w:rsidRDefault="00413406">
      <w:r>
        <w:separator/>
      </w:r>
    </w:p>
  </w:footnote>
  <w:footnote w:type="continuationSeparator" w:id="0">
    <w:p w:rsidR="00413406" w:rsidRDefault="00413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01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647F" w:rsidRDefault="000A216B" w:rsidP="00C4647F">
    <w:pPr>
      <w:pStyle w:val="bpuHeadSpon"/>
    </w:pPr>
    <w:r>
      <w:rPr>
        <w:rStyle w:val="bpuHeadSponChar"/>
      </w:rPr>
      <w:t>A1659</w:t>
    </w:r>
    <w:r w:rsidR="00C4647F">
      <w:t xml:space="preserve"> </w:t>
    </w:r>
    <w:r w:rsidR="00950F1B">
      <w:t xml:space="preserve">[1R] </w:t>
    </w:r>
    <w:r w:rsidR="00C4647F">
      <w:t>QUIJANO, BRAMNICK</w:t>
    </w:r>
  </w:p>
  <w:p w:rsidR="00C4647F" w:rsidRDefault="00C4647F" w:rsidP="00C4647F">
    <w:pPr>
      <w:pStyle w:val="bpuHeadSpon"/>
    </w:pPr>
    <w:r>
      <w:fldChar w:fldCharType="begin"/>
    </w:r>
    <w:r>
      <w:instrText xml:space="preserve"> PAGE  \* MERGEFORMAT </w:instrText>
    </w:r>
    <w:r>
      <w:fldChar w:fldCharType="separate"/>
    </w:r>
    <w:r w:rsidR="000B01BF">
      <w:rPr>
        <w:noProof/>
      </w:rPr>
      <w:t>3</w:t>
    </w:r>
    <w:r>
      <w:fldChar w:fldCharType="end"/>
    </w:r>
  </w:p>
  <w:p w:rsidR="00C4647F" w:rsidRPr="00AF575C" w:rsidRDefault="00C4647F" w:rsidP="00C464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647F" w:rsidRDefault="000A216B" w:rsidP="00C4647F">
    <w:pPr>
      <w:pStyle w:val="bpuHeadSpon"/>
    </w:pPr>
    <w:r>
      <w:rPr>
        <w:rStyle w:val="bpuHeadSponChar"/>
      </w:rPr>
      <w:t>A1659</w:t>
    </w:r>
    <w:r w:rsidR="00C4647F">
      <w:t xml:space="preserve"> </w:t>
    </w:r>
    <w:r w:rsidR="00950F1B">
      <w:t xml:space="preserve">[1R] </w:t>
    </w:r>
    <w:r w:rsidR="00C4647F">
      <w:t>QUIJANO, BRAMNICK</w:t>
    </w:r>
  </w:p>
  <w:p w:rsidR="00C4647F" w:rsidRDefault="00C4647F" w:rsidP="00C4647F">
    <w:pPr>
      <w:pStyle w:val="bpuHeadSpon"/>
    </w:pPr>
    <w:r>
      <w:fldChar w:fldCharType="begin"/>
    </w:r>
    <w:r>
      <w:instrText xml:space="preserve"> PAGE  \* MERGEFORMAT </w:instrText>
    </w:r>
    <w:r>
      <w:fldChar w:fldCharType="separate"/>
    </w:r>
    <w:r w:rsidR="000B01BF">
      <w:rPr>
        <w:noProof/>
      </w:rPr>
      <w:t>2</w:t>
    </w:r>
    <w:r>
      <w:fldChar w:fldCharType="end"/>
    </w:r>
  </w:p>
  <w:p w:rsidR="00C4647F" w:rsidRDefault="00C4647F" w:rsidP="00C464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4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36B"/>
    <w:rsid w:val="000A216B"/>
    <w:rsid w:val="000A384F"/>
    <w:rsid w:val="000A5654"/>
    <w:rsid w:val="000A6268"/>
    <w:rsid w:val="000A66D5"/>
    <w:rsid w:val="000A7D31"/>
    <w:rsid w:val="000B01BF"/>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096"/>
    <w:rsid w:val="001316C3"/>
    <w:rsid w:val="001330F6"/>
    <w:rsid w:val="00133BED"/>
    <w:rsid w:val="00136CE2"/>
    <w:rsid w:val="00140A92"/>
    <w:rsid w:val="00140FD3"/>
    <w:rsid w:val="00143A99"/>
    <w:rsid w:val="00146EB4"/>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5C0"/>
    <w:rsid w:val="00266FB9"/>
    <w:rsid w:val="00274341"/>
    <w:rsid w:val="0028159B"/>
    <w:rsid w:val="00296363"/>
    <w:rsid w:val="002A16E7"/>
    <w:rsid w:val="002A71FA"/>
    <w:rsid w:val="002A78A7"/>
    <w:rsid w:val="002B4DA4"/>
    <w:rsid w:val="002B67F7"/>
    <w:rsid w:val="002C58D4"/>
    <w:rsid w:val="002E1440"/>
    <w:rsid w:val="002E2980"/>
    <w:rsid w:val="00304565"/>
    <w:rsid w:val="00307F11"/>
    <w:rsid w:val="00310662"/>
    <w:rsid w:val="0031075B"/>
    <w:rsid w:val="00317C73"/>
    <w:rsid w:val="003208A6"/>
    <w:rsid w:val="003212E6"/>
    <w:rsid w:val="00333EF1"/>
    <w:rsid w:val="00341F09"/>
    <w:rsid w:val="00346CF5"/>
    <w:rsid w:val="00352F8B"/>
    <w:rsid w:val="00354D07"/>
    <w:rsid w:val="003656D9"/>
    <w:rsid w:val="0037458C"/>
    <w:rsid w:val="00381407"/>
    <w:rsid w:val="0038486B"/>
    <w:rsid w:val="003941E5"/>
    <w:rsid w:val="003A19B9"/>
    <w:rsid w:val="003A213D"/>
    <w:rsid w:val="003B6D11"/>
    <w:rsid w:val="003B7F50"/>
    <w:rsid w:val="003C32D1"/>
    <w:rsid w:val="003C6FBF"/>
    <w:rsid w:val="003D2B0D"/>
    <w:rsid w:val="003D6256"/>
    <w:rsid w:val="003E3338"/>
    <w:rsid w:val="003E7B4E"/>
    <w:rsid w:val="003F145F"/>
    <w:rsid w:val="003F4A22"/>
    <w:rsid w:val="004040F9"/>
    <w:rsid w:val="00406A85"/>
    <w:rsid w:val="0041340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54A"/>
    <w:rsid w:val="006A3786"/>
    <w:rsid w:val="006B2FCF"/>
    <w:rsid w:val="006C3B76"/>
    <w:rsid w:val="006C4542"/>
    <w:rsid w:val="006D65B4"/>
    <w:rsid w:val="006E36B4"/>
    <w:rsid w:val="006F4C44"/>
    <w:rsid w:val="006F652B"/>
    <w:rsid w:val="0070018A"/>
    <w:rsid w:val="00712CBE"/>
    <w:rsid w:val="00730582"/>
    <w:rsid w:val="007371F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067"/>
    <w:rsid w:val="00874609"/>
    <w:rsid w:val="0087660A"/>
    <w:rsid w:val="008823BC"/>
    <w:rsid w:val="008859B3"/>
    <w:rsid w:val="008A762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F1B"/>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74E"/>
    <w:rsid w:val="00AB4C5C"/>
    <w:rsid w:val="00AC4B4B"/>
    <w:rsid w:val="00AD541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883"/>
    <w:rsid w:val="00C4647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A5F"/>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0D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9B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2D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46771D-9547-449B-84C6-6493286A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647F"/>
  </w:style>
  <w:style w:type="paragraph" w:styleId="BalloonText">
    <w:name w:val="Balloon Text"/>
    <w:basedOn w:val="Normal"/>
    <w:link w:val="BalloonTextChar"/>
    <w:semiHidden/>
    <w:unhideWhenUsed/>
    <w:rsid w:val="000963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63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0B487-3C9B-42AF-9C3D-85AD197E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535</Words>
  <Characters>2919</Characters>
  <Application>Microsoft Office Word</Application>
  <DocSecurity>0</DocSecurity>
  <Lines>90</Lines>
  <Paragraphs>39</Paragraphs>
  <ScaleCrop>false</ScaleCrop>
  <HeadingPairs>
    <vt:vector size="2" baseType="variant">
      <vt:variant>
        <vt:lpstr>Title</vt:lpstr>
      </vt:variant>
      <vt:variant>
        <vt:i4>1</vt:i4>
      </vt:variant>
    </vt:vector>
  </HeadingPairs>
  <TitlesOfParts>
    <vt:vector size="1" baseType="lpstr">
      <vt:lpstr>A1659 1R</vt:lpstr>
    </vt:vector>
  </TitlesOfParts>
  <Manager>R225</Manager>
  <Company>OFFICE of LEGISLATIVE SERVICES</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A1659 1R</dc:title>
  <dc:creator>Assemblywoman  QUIJANO, Assemblyman  BRAMNICK</dc:creator>
  <cp:keywords>A1659|3|CL |318|307|260|!|0|</cp:keywords>
  <dc:description>PREFILED 2020_x000d_
Amended/TR 12/13/21</dc:description>
  <cp:lastModifiedBy>Siracusa, Nicole</cp:lastModifiedBy>
  <cp:revision>2</cp:revision>
  <cp:lastPrinted>2020-01-30T14:45:00Z</cp:lastPrinted>
  <dcterms:created xsi:type="dcterms:W3CDTF">2021-12-14T19:10:00Z</dcterms:created>
  <dcterms:modified xsi:type="dcterms:W3CDTF">2021-12-14T19:10:00Z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