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5141" w:rsidRDefault="00295141" w:rsidP="00295141">
      <w:pPr>
        <w:pStyle w:val="bpuBill"/>
      </w:pPr>
      <w:bookmarkStart w:id="0" w:name="bpuFrontPg"/>
      <w:bookmarkStart w:id="1" w:name="_GoBack"/>
      <w:bookmarkEnd w:id="0"/>
      <w:bookmarkEnd w:id="1"/>
      <w:r>
        <w:t xml:space="preserve">ASSEMBLY, No. 1692 </w:t>
      </w:r>
    </w:p>
    <w:p w:rsidR="00295141" w:rsidRPr="00295141" w:rsidRDefault="00295141" w:rsidP="002951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7" o:title=""/>
          </v:shape>
          <o:OLEObject Type="Embed" ProgID="WPWin6.1" ShapeID="_x0000_i1025" DrawAspect="Content" ObjectID="_1640267691" r:id="rId8"/>
        </w:object>
      </w:r>
    </w:p>
    <w:p w:rsidR="00295141" w:rsidRDefault="00295141" w:rsidP="00295141">
      <w:pPr>
        <w:pStyle w:val="bpuState"/>
      </w:pPr>
      <w:r>
        <w:t>STATE OF NEW JERSEY</w:t>
      </w:r>
    </w:p>
    <w:p w:rsidR="00295141" w:rsidRDefault="00295141" w:rsidP="00295141">
      <w:pPr>
        <w:pStyle w:val="bpuLegislature"/>
      </w:pPr>
      <w:r>
        <w:t>219th LEGISLATURE</w:t>
      </w:r>
    </w:p>
    <w:p w:rsidR="00295141" w:rsidRDefault="00295141" w:rsidP="00295141">
      <w:pPr>
        <w:pStyle w:val="bpuWpGraphic"/>
      </w:pPr>
      <w:r>
        <w:object w:dxaOrig="8985" w:dyaOrig="255">
          <v:shape id="_x0000_i1026" type="#_x0000_t75" style="width:6in;height:12.1pt" o:ole="">
            <v:imagedata r:id="rId7" o:title=""/>
          </v:shape>
          <o:OLEObject Type="Embed" ProgID="WPWin6.1" ShapeID="_x0000_i1026" DrawAspect="Content" ObjectID="_1640267692" r:id="rId9"/>
        </w:object>
      </w:r>
      <w:r>
        <w:t xml:space="preserve">  </w:t>
      </w:r>
    </w:p>
    <w:p w:rsidR="00295141" w:rsidRDefault="00295141" w:rsidP="00295141">
      <w:pPr>
        <w:pStyle w:val="bpuIntro"/>
      </w:pPr>
      <w:r>
        <w:t>PRE-FILED FOR INTRODUCTION IN THE 2020 SESSION</w:t>
      </w:r>
    </w:p>
    <w:p w:rsidR="00295141" w:rsidRDefault="00295141" w:rsidP="00295141">
      <w:pPr>
        <w:pStyle w:val="bpuIntro"/>
      </w:pPr>
    </w:p>
    <w:p w:rsidR="00295141" w:rsidRDefault="00295141" w:rsidP="00295141">
      <w:pPr>
        <w:pStyle w:val="bpuIntro"/>
        <w:sectPr w:rsidR="00295141" w:rsidSect="00295141">
          <w:headerReference w:type="even" r:id="rId10"/>
          <w:headerReference w:type="default" r:id="rId11"/>
          <w:pgSz w:w="12240" w:h="20160" w:code="5"/>
          <w:pgMar w:top="2160" w:right="1440" w:bottom="1440" w:left="1440" w:header="720" w:footer="720" w:gutter="0"/>
          <w:pgNumType w:start="1"/>
          <w:cols w:space="720"/>
          <w:docGrid w:linePitch="360"/>
        </w:sectPr>
      </w:pPr>
    </w:p>
    <w:p w:rsidR="00295141" w:rsidRDefault="00295141" w:rsidP="00295141">
      <w:pPr>
        <w:pStyle w:val="bpuIntro"/>
      </w:pPr>
    </w:p>
    <w:p w:rsidR="00295141" w:rsidRDefault="00295141" w:rsidP="00295141">
      <w:pPr>
        <w:pStyle w:val="bpuSponsor"/>
      </w:pPr>
      <w:r>
        <w:t>Sponsored by:</w:t>
      </w:r>
    </w:p>
    <w:p w:rsidR="00295141" w:rsidRDefault="00295141" w:rsidP="00295141">
      <w:pPr>
        <w:pStyle w:val="bpuSponsor"/>
      </w:pPr>
      <w:r>
        <w:t>Assemblyman  JOHN J. BURZICHELLI</w:t>
      </w:r>
    </w:p>
    <w:p w:rsidR="00295141" w:rsidRDefault="00295141" w:rsidP="00295141">
      <w:pPr>
        <w:pStyle w:val="bpuSponsor"/>
      </w:pPr>
      <w:r>
        <w:t>District 3 (Cumberland, Gloucester and Salem)</w:t>
      </w:r>
    </w:p>
    <w:p w:rsidR="00295141" w:rsidRDefault="00295141" w:rsidP="00295141">
      <w:pPr>
        <w:pStyle w:val="bpuSponsor"/>
      </w:pPr>
    </w:p>
    <w:p w:rsidR="00295141" w:rsidRDefault="00295141" w:rsidP="00295141">
      <w:pPr>
        <w:pStyle w:val="bpuSponsor"/>
      </w:pPr>
    </w:p>
    <w:p w:rsidR="00295141" w:rsidRDefault="00295141" w:rsidP="00295141">
      <w:pPr>
        <w:pStyle w:val="bpuSponsor"/>
      </w:pPr>
    </w:p>
    <w:p w:rsidR="00295141" w:rsidRDefault="00295141" w:rsidP="00295141">
      <w:pPr>
        <w:pStyle w:val="bpuSponsor"/>
      </w:pPr>
    </w:p>
    <w:p w:rsidR="00295141" w:rsidRDefault="00295141" w:rsidP="00295141">
      <w:pPr>
        <w:pStyle w:val="bpuSponsor"/>
      </w:pPr>
      <w:r>
        <w:t>SYNOPSIS</w:t>
      </w:r>
    </w:p>
    <w:p w:rsidR="00295141" w:rsidRDefault="00295141" w:rsidP="00295141">
      <w:pPr>
        <w:pStyle w:val="bpuNormText"/>
      </w:pPr>
      <w:r>
        <w:tab/>
        <w:t xml:space="preserve">Expands applicability of cap on ”Spill Compensation and Control Act” tax liability to all successors in interest of certain taxpayers. </w:t>
      </w:r>
    </w:p>
    <w:p w:rsidR="00295141" w:rsidRDefault="00295141" w:rsidP="00295141">
      <w:pPr>
        <w:pStyle w:val="bpuNormText"/>
      </w:pPr>
    </w:p>
    <w:p w:rsidR="00295141" w:rsidRDefault="00295141" w:rsidP="00295141">
      <w:pPr>
        <w:pStyle w:val="bpuSponsor"/>
      </w:pPr>
      <w:r>
        <w:t xml:space="preserve">CURRENT VERSION OF TEXT </w:t>
      </w:r>
    </w:p>
    <w:p w:rsidR="00295141" w:rsidRDefault="00295141" w:rsidP="00295141">
      <w:pPr>
        <w:pStyle w:val="bpuNormText"/>
      </w:pPr>
      <w:r>
        <w:tab/>
        <w:t>Introduced Pending Technical Review by Legislative Counsel.</w:t>
      </w:r>
    </w:p>
    <w:p w:rsidR="00295141" w:rsidRDefault="00295141" w:rsidP="0029514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95141" w:rsidRDefault="0029514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95141" w:rsidSect="00295141">
          <w:type w:val="continuous"/>
          <w:pgSz w:w="12240" w:h="20160" w:code="5"/>
          <w:pgMar w:top="2160" w:right="2275" w:bottom="1440" w:left="2275" w:header="72" w:footer="720" w:gutter="0"/>
          <w:pgNumType w:start="1"/>
          <w:cols w:space="720"/>
          <w:docGrid w:linePitch="360"/>
        </w:sectPr>
      </w:pPr>
    </w:p>
    <w:p w:rsidR="00E37C07" w:rsidRPr="00677316" w:rsidRDefault="00E37C07" w:rsidP="00E37C07">
      <w:pPr>
        <w:pStyle w:val="HangingAnAct"/>
        <w:rPr>
          <w:rStyle w:val="HangingAnActChar"/>
        </w:rPr>
      </w:pPr>
      <w:r w:rsidRPr="00E37C07">
        <w:rPr>
          <w:rStyle w:val="BillHead"/>
        </w:rPr>
        <w:lastRenderedPageBreak/>
        <w:t>An Act</w:t>
      </w:r>
      <w:r w:rsidRPr="006B7FA7">
        <w:rPr>
          <w:rStyle w:val="HangingAnActChar"/>
        </w:rPr>
        <w:t xml:space="preserve"> </w:t>
      </w:r>
      <w:r>
        <w:t>concerning taxes on the transfer of hazardous substances and amending P.L.1976, c.141.</w:t>
      </w:r>
    </w:p>
    <w:p w:rsidR="00E37C07" w:rsidRPr="00D71D68" w:rsidRDefault="00E37C07" w:rsidP="00E37C07"/>
    <w:p w:rsidR="00E37C07" w:rsidRPr="00AA7880" w:rsidRDefault="00E37C07" w:rsidP="00E37C07">
      <w:r>
        <w:tab/>
      </w:r>
      <w:r>
        <w:rPr>
          <w:rStyle w:val="BillHeading2"/>
        </w:rPr>
        <w:t xml:space="preserve">Be It Enacted </w:t>
      </w:r>
      <w:r>
        <w:rPr>
          <w:rStyle w:val="BillLanguage"/>
        </w:rPr>
        <w:t>by the Senate and General Assembly of the State of New Jersey:</w:t>
      </w:r>
    </w:p>
    <w:p w:rsidR="00E37C07" w:rsidRPr="00D71D68" w:rsidRDefault="00E37C07" w:rsidP="00E37C07"/>
    <w:p w:rsidR="00E37C07" w:rsidRDefault="00E37C07" w:rsidP="00E37C07">
      <w:r>
        <w:tab/>
        <w:t>1.</w:t>
      </w:r>
      <w:r>
        <w:tab/>
        <w:t>Section 9 of P.L.1976, c.141 (C.58:10-23.11h) is amended to read as follows:</w:t>
      </w:r>
    </w:p>
    <w:p w:rsidR="00E37C07" w:rsidRDefault="00E37C07" w:rsidP="00E37C07">
      <w:r>
        <w:tab/>
        <w:t>9.</w:t>
      </w:r>
      <w:r>
        <w:tab/>
        <w:t>a.  There is hereby levied upon each owner or operator of one or more major facilities a tax to insure compensation for cleanup costs and damages associated with any discharge of hazardous substances to be paid by the transferee; provided, however, that in the case of a major facility which operates as a public storage terminal for hazardous substances owned by others, the owner of the hazardous substance transferred to such major facility or his authorized agent shall be considered to be the transferee or transferor, as the case may be, for the purposes of this section and shall be deemed to be a taxpayer for purposes of this act.  Where such person has failed to file a return or pay the tax imposed by this act within 60 days after the due date thereof, the director shall forthwith take appropriate steps to collect same from the owner of the hazardous substance.  In the event the director is not successful in collecting said tax, then on notice to the owner or operator of the public storage terminal of said fact said owner or operator shall not release any hazardous substance owned by the taxpayer.  The director may forthwith proceed to satisfy any tax liability of the taxpayer by seizing, selling or otherwise disposing of said hazardous substance to satisfy the taxpayer's tax liability and to take any further steps permitted by law for its collection.  For the purposes of this act, public storage terminal shall mean a public or privately owned major facility operated for public use which is used for the storage or transfer of hazardous substances. The tax shall be measured by the number of barrels or the fair market value, as the case may be, of hazardous substances transferred to the major facility; provided, however, that the same barrel, including any products derived therefrom, subject to multiple transfers from or between major facilities shall be taxed only once at the point of the first transfer.</w:t>
      </w:r>
    </w:p>
    <w:p w:rsidR="00E37C07" w:rsidRDefault="00E37C07" w:rsidP="00E37C07">
      <w:r>
        <w:tab/>
        <w:t>When a hazardous substance other than petroleum which has not been previously taxed is transferred from a major in-State facility to a facility which is not a major facility, the transferor shall be liable for tax payment for said transfer.</w:t>
      </w:r>
    </w:p>
    <w:p w:rsidR="00E37C07" w:rsidRDefault="00E37C07" w:rsidP="00E37C07">
      <w:r>
        <w:tab/>
        <w:t>b.</w:t>
      </w:r>
      <w:r>
        <w:tab/>
        <w:t xml:space="preserve">(1)  (a)  The tax shall be $0.023 per barrel transferred and in the case of the transfer of hazardous substances other than petroleum or petroleum products, the tax shall be 1.53% of the fair market value of the product; provided, however, that with respect to transfers of hazardous substances other than petroleum or petroleum products which are or contain any precious metals to be recycled, refined, or </w:t>
      </w:r>
      <w:proofErr w:type="spellStart"/>
      <w:r>
        <w:t>rerefined</w:t>
      </w:r>
      <w:proofErr w:type="spellEnd"/>
      <w:r>
        <w:t xml:space="preserve"> in this State, which are transferred into this State subsequent to being recycled, refined or </w:t>
      </w:r>
      <w:proofErr w:type="spellStart"/>
      <w:r>
        <w:t>rerefined</w:t>
      </w:r>
      <w:proofErr w:type="spellEnd"/>
      <w:r>
        <w:t xml:space="preserve">, or which are or contain elemental phosphorus, or which are elemental antimony or antimony trioxide sold for use in the manufacture or for the purpose of fire retardants, the tax shall be $0.023 per barrel of the hazardous substance; and provided further, however, that the total aggregate tax due for any individual taxpayer facility which has paid the tax in the 1986 tax year shall not exceed 125% of the tax due and payable by that taxpayer facility during the 1986 tax year plus an additional $0.0025 per barrel; except that for a hazardous substance which is directly converted to, and comprises more than 90% by weight of, a non-hazardous final product, the taxpayer facility shall pay no more than 100% of the tax due and payable in the 1986 tax year plus an additional $0.0025 per barrel.  For major facilities established by the subdivision of a major facility which existed in 1986, including subsequent owners and operators of the subdivided major facilities, the total aggregated tax due shall not exceed 100% of the tax paid in 1999.  For the purposes of applying the 125% of tax due limitation, a successor in interest pursuant to a sale or a reorganization, as defined pursuant to the Internal Revenue Code of 1986, </w:t>
      </w:r>
      <w:r w:rsidRPr="00810CDD">
        <w:rPr>
          <w:rFonts w:ascii="Albertus Extra Bold" w:hAnsi="Albertus Extra Bold"/>
          <w:b/>
        </w:rPr>
        <w:t>[</w:t>
      </w:r>
      <w:r>
        <w:t>on or before June 1, 2001</w:t>
      </w:r>
      <w:r w:rsidRPr="00810CDD">
        <w:rPr>
          <w:rFonts w:ascii="Albertus Extra Bold" w:hAnsi="Albertus Extra Bold"/>
          <w:b/>
        </w:rPr>
        <w:t>]</w:t>
      </w:r>
      <w:r>
        <w:t xml:space="preserve"> shall be entitled to the predecessor taxpayer's limitation.  In computing 125% of the tax due and payable by the taxpayer during the 1986 tax year, for taxes due after January 1, 1996 from an owner or operator including the successor in interest pursuant to a sale or a reorganization as defined in this paragraph of one or more major facilities who has continuously since 1986 filed a combined tax return for more than one major facility but who prior to January 1, 1996 has entirely closed and decommissioned one or more of those major facilities, a taxpayer shall include 1986 taxes arising from major facilities which (1) caused the taxpayer to incur a tax liability in 1986, and (2) continue to cause the taxpayer to incur a tax liability during the current tax year.  For transfers which are or contain elemental phosphorus, or which are elemental antimony or antimony trioxide sold for use in the manufacture or for the purpose of fire retardants, in computing the 125% of the taxes due and payable by the taxpayer during the 1986 tax year, a taxpayer, which shall include any subsequent owner or operator of a major facility which transfers elemental phosphorus, shall calculate the tax at $0.015 per barrel.  For the purposes of this section, "precious metals" means gold, silver, osmium, platinum, palladium, iridium, rhodium, ruthenium and copper.  In the event of a major discharge or series of discharges of petroleum or petroleum products resulting in reasonable claims against the fund exceeding the existing balance of the fund, the tax shall be levied at the rate of $0.04 per barrel of petroleum or petroleum products transferred, until the revenue produced by such increased rate equals 150% of the total dollar amount of all pending reasonable claims resulting from the discharge of petroleum or petroleum products; provided, however, that such rate may be set at less than $0.04 per barrel transferred if the administrator determines that the revenue produced by such lower rate will be sufficient to pay outstanding reasonable claims against the fund within one year of such levy.  For the purposes of determining the existing balance of the fund, the administrator shall not include any amount in the fund collected from the $0.0025 per barrel increase in the tax imposed pursuant to P.L.1990, c.78 and dedicated for hazardous substance discharge prevention in accordance with paragraph (2) of this subsection.</w:t>
      </w:r>
    </w:p>
    <w:p w:rsidR="00E37C07" w:rsidRDefault="00E37C07" w:rsidP="00E37C07">
      <w:r>
        <w:tab/>
        <w:t>(b)</w:t>
      </w:r>
      <w:r>
        <w:tab/>
        <w:t>Notwithstanding any provision of subparagraph (a) of this paragraph to the contrary, in order to qualify for the reduced tax rate for elemental antimony or antimony trioxide sold for use in the manufacture or for the purpose of fire retardants authorized in that subparagraph, the taxpayer shall demonstrate, by December 31 of each year, to the satisfaction of the Department of the Treasury, acting in cooperation with the Department of Environmental Protection, all of the following:  (</w:t>
      </w:r>
      <w:proofErr w:type="spellStart"/>
      <w:r>
        <w:t>i</w:t>
      </w:r>
      <w:proofErr w:type="spellEnd"/>
      <w:r>
        <w:t>) that the taxpayer's sales of the hazardous substance constitute, in the calendar year immediately prior to the first calendar year in which the reduced tax rate shall apply, at least 75% of the taxpayer's total annual income in that immediately prior calendar year; (ii) that no other competitor of the taxpayer located in another state is subject to a tax in that other state, with respect to the hazardous substance, that is substantially similar to the tax imposed thereon pursuant to this section; (iii) that the taxpayer otherwise would suffer economic stress unless the benefit from the reduced tax rate is allowed; (iv) that the taxpayer has never filed a successful claim against the New Jersey Spill Compensation Fund; (v) that the taxpayer has never discharged a hazardous substance that required cleanup and removal in accordance with P.L.1976, c.141 (C.58:10-23.11 et seq.); and (vi) that, upon request of the State Treasurer, the taxpayer's accountant or counsel can provide a certified document detailing, with respect to the hazardous substance, the amount of tax that would have been paid each calendar year by the taxpayer had the reduced tax rate not been in effect and the amount that was actually paid each calendar year under the reduced tax rate, so that the State Treasurer may calculate the loss of tax revenue, if any, to the State attributable to the reduced tax rate.  If the taxpayer fails to qualify under the provisions of this subparagraph for the reduced tax rate, the taxpayer shall pay, for that calendar year, the tax at the full rate imposed pursuant to subparagraph (a) of this paragraph.</w:t>
      </w:r>
    </w:p>
    <w:p w:rsidR="00E37C07" w:rsidRDefault="00E37C07" w:rsidP="00E37C07">
      <w:r>
        <w:tab/>
        <w:t>(c)</w:t>
      </w:r>
      <w:r>
        <w:tab/>
        <w:t>Interest received on moneys in the fund shall be credited to the fund.</w:t>
      </w:r>
    </w:p>
    <w:p w:rsidR="00E37C07" w:rsidRDefault="00E37C07" w:rsidP="00E37C07">
      <w:r>
        <w:tab/>
        <w:t>(2)</w:t>
      </w:r>
      <w:r>
        <w:tab/>
        <w:t>An amount of $0.0025 per barrel collected from the proceeds of the tax imposed pursuant to this subsection shall be deposited into the New Jersey Spill Compensation Fund and dedicated for the purposes of P.L.1990, c.78 and for other authorized purposes designed to prevent the discharge of a hazardous substance.</w:t>
      </w:r>
    </w:p>
    <w:p w:rsidR="00E37C07" w:rsidRDefault="00E37C07" w:rsidP="00E37C07">
      <w:r>
        <w:tab/>
        <w:t>c.</w:t>
      </w:r>
      <w:r>
        <w:tab/>
        <w:t>(1) Every taxpayer and owner or operator of a public storage terminal for hazardous substances shall on or before the 20th day of the month following the close of each tax period render a return under oath to the director on such forms as may be prescribed by the director indicating the number of barrels of hazardous substances transferred and where appropriate, the fair market value of the hazardous substances transferred to or from the major facility, and at said time the taxpayer shall pay the full amount of the tax due.</w:t>
      </w:r>
    </w:p>
    <w:p w:rsidR="00E37C07" w:rsidRDefault="00E37C07" w:rsidP="00E37C07">
      <w:r>
        <w:tab/>
        <w:t>(2)</w:t>
      </w:r>
      <w:r>
        <w:tab/>
        <w:t>Every taxpayer or owner or operator of a major facility or vessel which transfers a hazardous substance, as defined in this act, and who is subject to the tax under subsection a. shall within 20 days after the first such transfer in any fiscal year register with the director on such form as shall be prescribed by him.</w:t>
      </w:r>
    </w:p>
    <w:p w:rsidR="00E37C07" w:rsidRDefault="00E37C07" w:rsidP="00E37C07">
      <w:r>
        <w:tab/>
        <w:t>(3)</w:t>
      </w:r>
      <w:r>
        <w:tab/>
        <w:t>Those hazardous substances determined by the Department of Environmental Protection not to be subject to regulation pursuant to P.L.1976, c.141 (C.58:10-23.11 et seq.) or P.L.1990, c.78 shall not be subject to taxation pursuant to this section.</w:t>
      </w:r>
    </w:p>
    <w:p w:rsidR="00E37C07" w:rsidRDefault="00E37C07" w:rsidP="00E37C07">
      <w:r>
        <w:tab/>
        <w:t>d.</w:t>
      </w:r>
      <w:r>
        <w:tab/>
        <w:t xml:space="preserve">If a return required by this act is not filed, or if a return when filed is incorrect or insufficient in the opinion of the director, the amount of tax due shall be determined by the director from such information as may be available.  Notice of such determination shall be given to the taxpayer liable for the payment of the tax.  Such determination shall finally and irrevocably fix the tax unless the person against whom it is assessed, within 30 days after receiving notice of such determination, shall apply to the director for a hearing, or unless the director on his own motion shall </w:t>
      </w:r>
      <w:proofErr w:type="spellStart"/>
      <w:r>
        <w:t>redetermine</w:t>
      </w:r>
      <w:proofErr w:type="spellEnd"/>
      <w:r>
        <w:t xml:space="preserve"> the same.  After such hearing the director shall give notice of his determination to the person to whom the tax is assessed.</w:t>
      </w:r>
    </w:p>
    <w:p w:rsidR="00E37C07" w:rsidRDefault="00E37C07" w:rsidP="00E37C07">
      <w:r>
        <w:tab/>
        <w:t>e.</w:t>
      </w:r>
      <w:r>
        <w:tab/>
        <w:t>Any taxpayer who shall fail to file his return when due or to pay any tax when the same becomes due, as herein provided, shall be subject to such penalties and interest as provided in the "State Tax Uniform Procedure Law," R.S.54:48-1 et seq.  If the Division of Taxation determines that the failure to comply with any provision of this section was excusable under the circumstances, it may remit such part or all of the penalty as shall be appropriate under such circumstances.</w:t>
      </w:r>
    </w:p>
    <w:p w:rsidR="00E37C07" w:rsidRDefault="00E37C07" w:rsidP="00E37C07">
      <w:r>
        <w:tab/>
        <w:t xml:space="preserve"> f.</w:t>
      </w:r>
      <w:r>
        <w:tab/>
        <w:t>(1)  (Deleted by amendment, P.L.1987, c.76.)</w:t>
      </w:r>
    </w:p>
    <w:p w:rsidR="00E37C07" w:rsidRDefault="00E37C07" w:rsidP="00E37C07">
      <w:r>
        <w:tab/>
        <w:t>(2)</w:t>
      </w:r>
      <w:r>
        <w:tab/>
        <w:t>(Deleted by amendment, P.L.1987, c.76.)</w:t>
      </w:r>
    </w:p>
    <w:p w:rsidR="00E37C07" w:rsidRDefault="00E37C07" w:rsidP="00E37C07">
      <w:r>
        <w:tab/>
        <w:t xml:space="preserve"> g.</w:t>
      </w:r>
      <w:r>
        <w:tab/>
        <w:t>In addition to the other powers granted to the director in this section, he is hereby authorized and empowered:</w:t>
      </w:r>
    </w:p>
    <w:p w:rsidR="00E37C07" w:rsidRDefault="00E37C07" w:rsidP="00E37C07">
      <w:r>
        <w:tab/>
        <w:t>(1)</w:t>
      </w:r>
      <w:r>
        <w:tab/>
        <w:t>To delegate to any officer or employee of his division such of his powers and duties as he may deem necessary to carry out efficiently the provisions of this section, and the person or persons to whom such power has been delegated shall possess and may exercise all of said powers and perform all of the duties delegated by the director;</w:t>
      </w:r>
    </w:p>
    <w:p w:rsidR="00E37C07" w:rsidRDefault="00E37C07" w:rsidP="00E37C07">
      <w:r>
        <w:tab/>
        <w:t>(2)</w:t>
      </w:r>
      <w:r>
        <w:tab/>
        <w:t>To prescribe and distribute all necessary forms for the implementation of this section.</w:t>
      </w:r>
    </w:p>
    <w:p w:rsidR="00E37C07" w:rsidRDefault="00E37C07" w:rsidP="00E37C07">
      <w:r>
        <w:tab/>
        <w:t xml:space="preserve"> h.</w:t>
      </w:r>
      <w:r>
        <w:tab/>
        <w:t>The tax imposed by this act shall be governed in all respects by the provisions of the "State Uniform Tax Procedure Law," R.S.54:48-1 et seq., except only to the extent that a specific provision of this act may be in conflict therewith.</w:t>
      </w:r>
    </w:p>
    <w:p w:rsidR="00E37C07" w:rsidRDefault="00E37C07" w:rsidP="00E37C07">
      <w:r>
        <w:tab/>
        <w:t xml:space="preserve"> </w:t>
      </w:r>
      <w:proofErr w:type="spellStart"/>
      <w:r>
        <w:t>i</w:t>
      </w:r>
      <w:proofErr w:type="spellEnd"/>
      <w:r>
        <w:t>.</w:t>
      </w:r>
      <w:r>
        <w:tab/>
        <w:t>(Deleted by amendment, P.L.1986, c.143.)</w:t>
      </w:r>
    </w:p>
    <w:p w:rsidR="00E37C07" w:rsidRDefault="00E37C07" w:rsidP="00E37C07">
      <w:r>
        <w:t>(</w:t>
      </w:r>
      <w:proofErr w:type="spellStart"/>
      <w:r>
        <w:t>cf</w:t>
      </w:r>
      <w:proofErr w:type="spellEnd"/>
      <w:r>
        <w:t>: P.L.2004, c.50, s.2)</w:t>
      </w:r>
    </w:p>
    <w:p w:rsidR="00E37C07" w:rsidRDefault="00E37C07" w:rsidP="00E37C07"/>
    <w:p w:rsidR="00E37C07" w:rsidRPr="00AA7880" w:rsidRDefault="00E37C07" w:rsidP="00E37C07">
      <w:r>
        <w:tab/>
        <w:t>2.</w:t>
      </w:r>
      <w:r>
        <w:tab/>
        <w:t>This act shall take effect immediately.</w:t>
      </w:r>
    </w:p>
    <w:p w:rsidR="00E37C07" w:rsidRDefault="00E37C07" w:rsidP="00E37C07"/>
    <w:p w:rsidR="00E37C07" w:rsidRPr="00CE7BD8" w:rsidRDefault="00E37C07" w:rsidP="00E37C07"/>
    <w:p w:rsidR="00E37C07" w:rsidRPr="00AA7880" w:rsidRDefault="00E37C07" w:rsidP="00E37C07">
      <w:pPr>
        <w:jc w:val="center"/>
      </w:pPr>
      <w:r w:rsidRPr="00D71D68">
        <w:t>STATEMENT</w:t>
      </w:r>
    </w:p>
    <w:p w:rsidR="00E37C07" w:rsidRDefault="00E37C07" w:rsidP="00E37C07"/>
    <w:p w:rsidR="00E37C07" w:rsidRDefault="00E37C07" w:rsidP="00E37C07">
      <w:r>
        <w:tab/>
        <w:t>This bill would provide that the cap on tax liability in connection with the transfer of hazardous substances to major facilities – which under existing law applies only to owners and operators whose interest was acquired prior to June 1, 2001 – would also apply to all successors in interest of those owners and operators.</w:t>
      </w:r>
    </w:p>
    <w:p w:rsidR="00E37C07" w:rsidRPr="00E7752C" w:rsidRDefault="00E37C07" w:rsidP="00E7752C">
      <w:r>
        <w:tab/>
        <w:t>Pursuant to the “Spill Compensation and Control Act,” an owner or operator of a major facility is subject to a tax based on the amount of hazardous substances transferred to the facility.  However, for certain taxpayers that paid the tax in 1986, existing law provides a cap on the taxpayer’s liability.  The cap is set at 125% of the tax that was due and payable by that taxpayer in 1986, plus an additional $0.0025 per barrel.  Existing law also provides that a successor in interest is entitled to its predecessor’s 125% cap, provided the successor’s interest was acquired pursuant to a sale or reorganization on or before June 1, 2001.   This bill would expand the applicability of the 125% cap to all successors in interest, regardless of when the interest was acquired, including successors in interest pursuant to a sale or reorganization occurring after June 1, 2001.</w:t>
      </w:r>
    </w:p>
    <w:sectPr w:rsidR="00E37C07" w:rsidRPr="00E7752C" w:rsidSect="00295141">
      <w:headerReference w:type="default" r:id="rId13"/>
      <w:footerReference w:type="default" r:id="rId14"/>
      <w:headerReference w:type="first" r:id="rId15"/>
      <w:footerReference w:type="first" r:id="rId16"/>
      <w:pgSz w:w="12240" w:h="20160" w:code="5"/>
      <w:pgMar w:top="1440" w:right="2520" w:bottom="1728" w:left="2880" w:header="1181" w:footer="551"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5BCB" w:rsidRDefault="00FF5BCB">
      <w:r>
        <w:separator/>
      </w:r>
    </w:p>
  </w:endnote>
  <w:endnote w:type="continuationSeparator" w:id="0">
    <w:p w:rsidR="00FF5BCB" w:rsidRDefault="00FF5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95141" w:rsidRPr="00921C91" w:rsidRDefault="0029514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95141" w:rsidRPr="00921C91" w:rsidRDefault="00295141">
    <w:pPr>
      <w:pStyle w:val="Footer"/>
      <w:rPr>
        <w:szCs w:val="18"/>
      </w:rPr>
    </w:pPr>
  </w:p>
  <w:p w:rsidR="00295141" w:rsidRPr="00921C91" w:rsidRDefault="0029514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95141" w:rsidRDefault="00295141">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5BCB" w:rsidRDefault="00FF5BCB">
      <w:r>
        <w:separator/>
      </w:r>
    </w:p>
  </w:footnote>
  <w:footnote w:type="continuationSeparator" w:id="0">
    <w:p w:rsidR="00FF5BCB" w:rsidRDefault="00FF5B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1322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95141" w:rsidRDefault="00295141" w:rsidP="00295141">
    <w:pPr>
      <w:pStyle w:val="bpuHeadSpon"/>
    </w:pPr>
    <w:r w:rsidRPr="00295141">
      <w:rPr>
        <w:rStyle w:val="bpuHeadSponChar"/>
      </w:rPr>
      <w:t>A1692</w:t>
    </w:r>
    <w:r>
      <w:t xml:space="preserve"> BURZICHELLI</w:t>
    </w:r>
  </w:p>
  <w:p w:rsidR="00295141" w:rsidRDefault="00295141" w:rsidP="00295141">
    <w:pPr>
      <w:pStyle w:val="bpuHeadSpon"/>
    </w:pPr>
    <w:r>
      <w:fldChar w:fldCharType="begin"/>
    </w:r>
    <w:r>
      <w:instrText xml:space="preserve"> PAGE  \* MERGEFORMAT </w:instrText>
    </w:r>
    <w:r>
      <w:fldChar w:fldCharType="separate"/>
    </w:r>
    <w:r w:rsidR="00B13228">
      <w:rPr>
        <w:noProof/>
      </w:rPr>
      <w:t>6</w:t>
    </w:r>
    <w:r>
      <w:fldChar w:fldCharType="end"/>
    </w:r>
  </w:p>
  <w:p w:rsidR="00295141" w:rsidRPr="00AF575C" w:rsidRDefault="00295141" w:rsidP="002951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95141" w:rsidRDefault="00295141" w:rsidP="00295141">
    <w:pPr>
      <w:pStyle w:val="bpuHeadSpon"/>
    </w:pPr>
    <w:r w:rsidRPr="00295141">
      <w:rPr>
        <w:rStyle w:val="bpuHeadSponChar"/>
      </w:rPr>
      <w:t>A1692</w:t>
    </w:r>
    <w:r>
      <w:t xml:space="preserve"> BURZICHELLI</w:t>
    </w:r>
  </w:p>
  <w:p w:rsidR="00295141" w:rsidRDefault="00295141" w:rsidP="00295141">
    <w:pPr>
      <w:pStyle w:val="bpuHeadSpon"/>
    </w:pPr>
    <w:r>
      <w:fldChar w:fldCharType="begin"/>
    </w:r>
    <w:r>
      <w:instrText xml:space="preserve"> PAGE  \* MERGEFORMAT </w:instrText>
    </w:r>
    <w:r>
      <w:fldChar w:fldCharType="separate"/>
    </w:r>
    <w:r w:rsidR="00B13228">
      <w:rPr>
        <w:noProof/>
      </w:rPr>
      <w:t>2</w:t>
    </w:r>
    <w:r>
      <w:fldChar w:fldCharType="end"/>
    </w:r>
  </w:p>
  <w:p w:rsidR="00295141" w:rsidRDefault="00295141" w:rsidP="002951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5BC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5141"/>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72A"/>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2CFA"/>
    <w:rsid w:val="00AB4C5C"/>
    <w:rsid w:val="00AC4B4B"/>
    <w:rsid w:val="00AD7C41"/>
    <w:rsid w:val="00AE1E57"/>
    <w:rsid w:val="00AF6ECE"/>
    <w:rsid w:val="00B00B00"/>
    <w:rsid w:val="00B034C1"/>
    <w:rsid w:val="00B0560C"/>
    <w:rsid w:val="00B07DA6"/>
    <w:rsid w:val="00B11520"/>
    <w:rsid w:val="00B13228"/>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2795"/>
    <w:rsid w:val="00C473B8"/>
    <w:rsid w:val="00C603F9"/>
    <w:rsid w:val="00C614C5"/>
    <w:rsid w:val="00C741D4"/>
    <w:rsid w:val="00C83317"/>
    <w:rsid w:val="00C937A1"/>
    <w:rsid w:val="00C93F56"/>
    <w:rsid w:val="00CB344E"/>
    <w:rsid w:val="00CF1693"/>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37C07"/>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3F47"/>
    <w:rsid w:val="00F62572"/>
    <w:rsid w:val="00F6488F"/>
    <w:rsid w:val="00F70CF6"/>
    <w:rsid w:val="00F85DDC"/>
    <w:rsid w:val="00F91244"/>
    <w:rsid w:val="00F95319"/>
    <w:rsid w:val="00FB3056"/>
    <w:rsid w:val="00FB309C"/>
    <w:rsid w:val="00FB3C7C"/>
    <w:rsid w:val="00FB6D95"/>
    <w:rsid w:val="00FB6E52"/>
    <w:rsid w:val="00FC5994"/>
    <w:rsid w:val="00FD2897"/>
    <w:rsid w:val="00FD4421"/>
    <w:rsid w:val="00FD4591"/>
    <w:rsid w:val="00FF5BCB"/>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CE83038-221B-4B67-9888-7815A8717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951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0E3BFC-BFFA-4739-B833-473F92A947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6</Pages>
  <Words>2353</Words>
  <Characters>11731</Characters>
  <Application>Microsoft Office Word</Application>
  <DocSecurity>0</DocSecurity>
  <Lines>249</Lines>
  <Paragraphs>37</Paragraphs>
  <ScaleCrop>false</ScaleCrop>
  <HeadingPairs>
    <vt:vector size="2" baseType="variant">
      <vt:variant>
        <vt:lpstr>Title</vt:lpstr>
      </vt:variant>
      <vt:variant>
        <vt:i4>1</vt:i4>
      </vt:variant>
    </vt:vector>
  </HeadingPairs>
  <TitlesOfParts>
    <vt:vector size="1" baseType="lpstr">
      <vt:lpstr>A1692</vt:lpstr>
    </vt:vector>
  </TitlesOfParts>
  <Manager>R230</Manager>
  <Company>OFFICE of LEGISLATIVE SERVICES</Company>
  <LinksUpToDate>false</LinksUpToDate>
  <CharactersWithSpaces>14111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A1692</dc:title>
  <dc:creator>Assemblyman  BURZICHELLI</dc:creator>
  <cp:keywords>A1692|6|CL |260|0|0|!|0|</cp:keywords>
  <dc:description>PREFILED 2020</dc:description>
  <cp:lastModifiedBy>Bektas, Brenda</cp:lastModifiedBy>
  <cp:revision>2</cp:revision>
  <cp:lastPrinted>2005-07-29T18:13:00Z</cp:lastPrinted>
  <dcterms:created xsi:type="dcterms:W3CDTF">2020-01-11T21:59:00Z</dcterms:created>
  <dcterms:modified xsi:type="dcterms:W3CDTF">2020-01-11T21:59:00Z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