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C28" w:rsidRDefault="00FC5C28" w:rsidP="00FC5C28">
      <w:pPr>
        <w:pStyle w:val="bpuReprint"/>
      </w:pPr>
      <w:bookmarkStart w:id="0" w:name="bpuFrontPg"/>
      <w:bookmarkStart w:id="1" w:name="_GoBack"/>
      <w:bookmarkEnd w:id="0"/>
      <w:bookmarkEnd w:id="1"/>
      <w:r>
        <w:t>[First Reprint]</w:t>
      </w:r>
    </w:p>
    <w:p w:rsidR="007070D5" w:rsidRDefault="007070D5" w:rsidP="007070D5">
      <w:pPr>
        <w:pStyle w:val="bpuBill"/>
      </w:pPr>
      <w:r>
        <w:t xml:space="preserve">ASSEMBLY, No. 1728 </w:t>
      </w:r>
    </w:p>
    <w:p w:rsidR="007070D5" w:rsidRPr="007070D5" w:rsidRDefault="007070D5" w:rsidP="007070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223890" r:id="rId9"/>
        </w:object>
      </w:r>
    </w:p>
    <w:p w:rsidR="007070D5" w:rsidRDefault="007070D5" w:rsidP="007070D5">
      <w:pPr>
        <w:pStyle w:val="bpuState"/>
      </w:pPr>
      <w:r>
        <w:t>STATE OF NEW JERSEY</w:t>
      </w:r>
    </w:p>
    <w:p w:rsidR="007070D5" w:rsidRDefault="007070D5" w:rsidP="007070D5">
      <w:pPr>
        <w:pStyle w:val="bpuLegislature"/>
      </w:pPr>
      <w:r>
        <w:t>219th LEGISLATURE</w:t>
      </w:r>
    </w:p>
    <w:p w:rsidR="007070D5" w:rsidRDefault="007070D5" w:rsidP="007070D5">
      <w:pPr>
        <w:pStyle w:val="bpuWpGraphic"/>
      </w:pPr>
      <w:r>
        <w:object w:dxaOrig="8985" w:dyaOrig="255">
          <v:shape id="_x0000_i1026" type="#_x0000_t75" style="width:6in;height:12pt" o:ole="">
            <v:imagedata r:id="rId8" o:title=""/>
          </v:shape>
          <o:OLEObject Type="Embed" ProgID="WPWin6.1" ShapeID="_x0000_i1026" DrawAspect="Content" ObjectID="_1684223891" r:id="rId10"/>
        </w:object>
      </w:r>
      <w:r>
        <w:t xml:space="preserve">  </w:t>
      </w:r>
    </w:p>
    <w:p w:rsidR="007070D5" w:rsidRDefault="007070D5" w:rsidP="007070D5">
      <w:pPr>
        <w:pStyle w:val="bpuIntro"/>
      </w:pPr>
      <w:r>
        <w:t>PRE-FILED FOR INTRODUCTION IN THE 2020 SESSION</w:t>
      </w:r>
    </w:p>
    <w:p w:rsidR="007070D5" w:rsidRDefault="007070D5" w:rsidP="007070D5">
      <w:pPr>
        <w:pStyle w:val="bpuIntro"/>
      </w:pPr>
    </w:p>
    <w:p w:rsidR="007070D5" w:rsidRDefault="007070D5" w:rsidP="007070D5">
      <w:pPr>
        <w:pStyle w:val="bpuIntro"/>
        <w:sectPr w:rsidR="007070D5" w:rsidSect="007070D5">
          <w:headerReference w:type="even" r:id="rId11"/>
          <w:headerReference w:type="default" r:id="rId12"/>
          <w:pgSz w:w="12240" w:h="20160" w:code="5"/>
          <w:pgMar w:top="2160" w:right="1440" w:bottom="1440" w:left="1440" w:header="720" w:footer="720" w:gutter="0"/>
          <w:pgNumType w:start="1"/>
          <w:cols w:space="720"/>
          <w:docGrid w:linePitch="360"/>
        </w:sectPr>
      </w:pPr>
    </w:p>
    <w:p w:rsidR="007070D5" w:rsidRDefault="007070D5" w:rsidP="007070D5">
      <w:pPr>
        <w:pStyle w:val="bpuIntro"/>
      </w:pPr>
    </w:p>
    <w:p w:rsidR="007070D5" w:rsidRDefault="007070D5" w:rsidP="007070D5">
      <w:pPr>
        <w:pStyle w:val="bpuSponsor"/>
      </w:pPr>
      <w:r>
        <w:t>Sponsored by:</w:t>
      </w:r>
    </w:p>
    <w:p w:rsidR="007070D5" w:rsidRDefault="007070D5" w:rsidP="007070D5">
      <w:pPr>
        <w:pStyle w:val="bpuSponsor"/>
      </w:pPr>
      <w:r>
        <w:t>Assemblywoman  ANGELA V. MCKNIGHT</w:t>
      </w:r>
    </w:p>
    <w:p w:rsidR="007070D5" w:rsidRDefault="007070D5" w:rsidP="007070D5">
      <w:pPr>
        <w:pStyle w:val="bpuSponsor"/>
      </w:pPr>
      <w:r>
        <w:t>District 31 (Hudson)</w:t>
      </w:r>
    </w:p>
    <w:p w:rsidR="007070D5" w:rsidRDefault="007070D5" w:rsidP="007070D5">
      <w:pPr>
        <w:pStyle w:val="bpuSponsor"/>
      </w:pPr>
      <w:r>
        <w:t>Assemblyman  JOE DANIELSEN</w:t>
      </w:r>
    </w:p>
    <w:p w:rsidR="007070D5" w:rsidRDefault="007070D5" w:rsidP="007070D5">
      <w:pPr>
        <w:pStyle w:val="bpuSponsor"/>
      </w:pPr>
      <w:r>
        <w:t>District 17 (Middlesex and Somerset)</w:t>
      </w:r>
    </w:p>
    <w:p w:rsidR="007070D5" w:rsidRDefault="007070D5" w:rsidP="007070D5">
      <w:pPr>
        <w:pStyle w:val="bpuSponsor"/>
      </w:pPr>
    </w:p>
    <w:p w:rsidR="007070D5" w:rsidRDefault="007070D5" w:rsidP="007070D5">
      <w:pPr>
        <w:pStyle w:val="bpuSponsor"/>
      </w:pPr>
      <w:r>
        <w:t>Co-Sponsored by:</w:t>
      </w:r>
    </w:p>
    <w:p w:rsidR="007070D5" w:rsidRPr="007070D5" w:rsidRDefault="007070D5" w:rsidP="007070D5">
      <w:pPr>
        <w:pStyle w:val="bpuSponsor"/>
      </w:pPr>
      <w:r w:rsidRPr="007070D5">
        <w:t>Assemblywoman Chaparro, Assemblymen Coughlin, Holley, Assemblywoman Murphy and Assemblyman Benson</w:t>
      </w:r>
    </w:p>
    <w:p w:rsidR="007070D5" w:rsidRDefault="007070D5" w:rsidP="007070D5">
      <w:pPr>
        <w:pStyle w:val="bpuSponsor"/>
      </w:pPr>
    </w:p>
    <w:p w:rsidR="007070D5" w:rsidRDefault="007070D5" w:rsidP="007070D5"/>
    <w:p w:rsidR="007070D5" w:rsidRPr="007070D5" w:rsidRDefault="007070D5" w:rsidP="007070D5"/>
    <w:p w:rsidR="007070D5" w:rsidRDefault="007070D5" w:rsidP="007070D5">
      <w:pPr>
        <w:pStyle w:val="bpuSponsor"/>
      </w:pPr>
    </w:p>
    <w:p w:rsidR="007070D5" w:rsidRDefault="007070D5" w:rsidP="007070D5">
      <w:pPr>
        <w:pStyle w:val="bpuSponsor"/>
      </w:pPr>
      <w:r>
        <w:t>SYNOPSIS</w:t>
      </w:r>
    </w:p>
    <w:p w:rsidR="007070D5" w:rsidRDefault="007070D5" w:rsidP="007070D5">
      <w:pPr>
        <w:pStyle w:val="bpuNormText"/>
      </w:pPr>
      <w:r>
        <w:tab/>
        <w:t xml:space="preserve">Requires depository institutions to provide paper account statements to elder adults. </w:t>
      </w:r>
    </w:p>
    <w:p w:rsidR="007070D5" w:rsidRDefault="007070D5" w:rsidP="007070D5">
      <w:pPr>
        <w:pStyle w:val="bpuNormText"/>
      </w:pPr>
    </w:p>
    <w:p w:rsidR="007070D5" w:rsidRDefault="007070D5" w:rsidP="007070D5">
      <w:pPr>
        <w:pStyle w:val="bpuSponsor"/>
      </w:pPr>
      <w:r>
        <w:t xml:space="preserve">CURRENT VERSION OF TEXT </w:t>
      </w:r>
    </w:p>
    <w:p w:rsidR="007070D5" w:rsidRDefault="00FC5C28" w:rsidP="007070D5">
      <w:pPr>
        <w:pStyle w:val="bpuNormText"/>
      </w:pPr>
      <w:r>
        <w:tab/>
        <w:t>As reported by the Assembly Financial Institutions and Insurance Committee on June 2, 2021, with amendments.</w:t>
      </w:r>
    </w:p>
    <w:p w:rsidR="007070D5" w:rsidRDefault="007070D5" w:rsidP="007070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70D5" w:rsidRDefault="007070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70D5" w:rsidSect="007070D5">
          <w:type w:val="continuous"/>
          <w:pgSz w:w="12240" w:h="20160" w:code="5"/>
          <w:pgMar w:top="2160" w:right="2275" w:bottom="1440" w:left="2275" w:header="72" w:footer="720" w:gutter="0"/>
          <w:pgNumType w:start="1"/>
          <w:cols w:space="720"/>
          <w:docGrid w:linePitch="360"/>
        </w:sectPr>
      </w:pPr>
    </w:p>
    <w:p w:rsidR="00D2355C" w:rsidRPr="00677316" w:rsidRDefault="00D2355C" w:rsidP="00D2355C">
      <w:pPr>
        <w:pStyle w:val="HangingAnAct"/>
        <w:rPr>
          <w:rStyle w:val="HangingAnActChar"/>
        </w:rPr>
      </w:pPr>
      <w:r w:rsidRPr="00D2355C">
        <w:rPr>
          <w:rStyle w:val="BillHead"/>
        </w:rPr>
        <w:lastRenderedPageBreak/>
        <w:t>An Act</w:t>
      </w:r>
      <w:r w:rsidRPr="006B7FA7">
        <w:rPr>
          <w:rStyle w:val="HangingAnActChar"/>
        </w:rPr>
        <w:t xml:space="preserve"> </w:t>
      </w:r>
      <w:r w:rsidRPr="00B5612D">
        <w:t>concerning depository institutions and account statements and supplementing Title 17 of the Revised Statutes.</w:t>
      </w:r>
    </w:p>
    <w:p w:rsidR="00D2355C" w:rsidRPr="00D71D68" w:rsidRDefault="00D2355C" w:rsidP="00D2355C"/>
    <w:p w:rsidR="00D2355C" w:rsidRPr="00AA7880" w:rsidRDefault="00D2355C" w:rsidP="00D2355C">
      <w:r>
        <w:tab/>
      </w:r>
      <w:r>
        <w:rPr>
          <w:rStyle w:val="BillHeading2"/>
        </w:rPr>
        <w:t xml:space="preserve">Be It Enacted </w:t>
      </w:r>
      <w:r>
        <w:rPr>
          <w:rStyle w:val="BillLanguage"/>
        </w:rPr>
        <w:t>by the Senate and General Assembly of the State of New Jersey:</w:t>
      </w:r>
    </w:p>
    <w:p w:rsidR="00D2355C" w:rsidRPr="00D71D68" w:rsidRDefault="00D2355C" w:rsidP="00D2355C"/>
    <w:p w:rsidR="00D2355C" w:rsidRPr="000E5B30" w:rsidRDefault="00A4736A" w:rsidP="00A4736A">
      <w:r>
        <w:tab/>
        <w:t>1.</w:t>
      </w:r>
      <w:r>
        <w:tab/>
      </w:r>
      <w:r w:rsidR="00D2355C" w:rsidRPr="000E5B30">
        <w:t>As used in this act:</w:t>
      </w:r>
    </w:p>
    <w:p w:rsidR="00D2355C" w:rsidRPr="000E5B30" w:rsidRDefault="00D2355C" w:rsidP="00D2355C">
      <w:r>
        <w:tab/>
        <w:t>“</w:t>
      </w:r>
      <w:r w:rsidRPr="002807D0">
        <w:t xml:space="preserve">Account" means an account in a depository institution with respect to which the account holder is permitted to make withdrawals by negotiable or transferable instrument, payment orders of withdrawal, telephone transfers, or other similar items for the purpose of making payments or transfers to third persons or others, including a demand deposit account, negotiable order of withdrawal account, draft account, savings deposit account subject to automatic transfers, share draft account, and all savings deposit and share accounts other than time deposit accounts.  </w:t>
      </w:r>
      <w:r w:rsidRPr="000E5B30">
        <w:tab/>
      </w:r>
      <w:r w:rsidRPr="002807D0">
        <w:t>"Depository institu</w:t>
      </w:r>
      <w:r>
        <w:t>tion" means a State</w:t>
      </w:r>
      <w:r w:rsidRPr="002807D0">
        <w:t xml:space="preserve"> chartered bank, savings bank, savings and loan association or credit union doing business in this State.</w:t>
      </w:r>
    </w:p>
    <w:p w:rsidR="00D2355C" w:rsidRPr="000E5B30" w:rsidRDefault="00D2355C" w:rsidP="00D2355C">
      <w:r w:rsidRPr="000E5B30">
        <w:tab/>
      </w:r>
      <w:r>
        <w:t>“Elder adult</w:t>
      </w:r>
      <w:r w:rsidRPr="000E5B30">
        <w:t>” means</w:t>
      </w:r>
      <w:r>
        <w:t xml:space="preserve"> an individual who is at least 65</w:t>
      </w:r>
      <w:r w:rsidRPr="000E5B30">
        <w:t xml:space="preserve"> years of age.</w:t>
      </w:r>
    </w:p>
    <w:p w:rsidR="00D2355C" w:rsidRDefault="00D2355C" w:rsidP="00D2355C">
      <w:r>
        <w:tab/>
      </w:r>
      <w:r w:rsidRPr="000E5B30">
        <w:t>"Perio</w:t>
      </w:r>
      <w:r>
        <w:t>dic account statement" means a</w:t>
      </w:r>
      <w:r w:rsidRPr="000E5B30">
        <w:t xml:space="preserve"> written statement provided on a regular basis at the end of eac</w:t>
      </w:r>
      <w:r>
        <w:t>h periodic cycle by a depository</w:t>
      </w:r>
      <w:r w:rsidRPr="000E5B30">
        <w:t xml:space="preserve"> institution to an account holder that reflects all debits and credits to an account held by the account holder during a periodic cycle.</w:t>
      </w:r>
    </w:p>
    <w:p w:rsidR="00D2355C" w:rsidRPr="000E5B30" w:rsidRDefault="00D2355C" w:rsidP="00D2355C">
      <w:r>
        <w:tab/>
      </w:r>
      <w:r w:rsidRPr="002807D0">
        <w:t>"Periodic cycle" means a period of time which is equal to or shorter than a calendar quarter and, if shorter than a calendar quarter, divides a calendar quarter into approximately equal units of time.</w:t>
      </w:r>
    </w:p>
    <w:p w:rsidR="00D2355C" w:rsidRPr="000E5B30" w:rsidRDefault="00D2355C" w:rsidP="00D2355C"/>
    <w:p w:rsidR="00D2355C" w:rsidRPr="00C36A2B" w:rsidRDefault="00D2355C" w:rsidP="00D2355C">
      <w:r>
        <w:tab/>
      </w:r>
      <w:r w:rsidRPr="000E5B30">
        <w:t xml:space="preserve">2. </w:t>
      </w:r>
      <w:r>
        <w:t xml:space="preserve"> </w:t>
      </w:r>
      <w:r w:rsidRPr="000E5B30">
        <w:t xml:space="preserve">Notwithstanding any other law to the contrary, </w:t>
      </w:r>
      <w:r>
        <w:t xml:space="preserve">with respect to any account held by an elder adult, </w:t>
      </w:r>
      <w:r w:rsidRPr="000E5B30">
        <w:t xml:space="preserve">a </w:t>
      </w:r>
      <w:r>
        <w:t>depository</w:t>
      </w:r>
      <w:r w:rsidRPr="000E5B30">
        <w:t xml:space="preserve"> institution </w:t>
      </w:r>
      <w:r>
        <w:t>shall mail periodic account statements in paper form to the account holder without charge</w:t>
      </w:r>
      <w:r w:rsidRPr="004F21D6">
        <w:t>, unless the elder adult notifies the depository institution that the elder adult chooses to opt out of receiving the periodic statement in paper form</w:t>
      </w:r>
      <w:r w:rsidRPr="009609B9">
        <w:t>.</w:t>
      </w:r>
    </w:p>
    <w:p w:rsidR="00D2355C" w:rsidRPr="000E5B30" w:rsidRDefault="00D2355C" w:rsidP="00D2355C"/>
    <w:p w:rsidR="00FC5C28" w:rsidRPr="002046ED" w:rsidRDefault="00FC5C28" w:rsidP="00FC5C28">
      <w:r>
        <w:tab/>
        <w:t xml:space="preserve">3.  If a depository institution violates this act, the Commissioner of Banking and Insurance may order the depository institution to cease any violation </w:t>
      </w:r>
      <w:r>
        <w:rPr>
          <w:rFonts w:ascii="Albertus Extra Bold" w:hAnsi="Albertus Extra Bold"/>
          <w:b/>
          <w:vertAlign w:val="superscript"/>
        </w:rPr>
        <w:t>1</w:t>
      </w:r>
      <w:r w:rsidRPr="009D7BA7">
        <w:rPr>
          <w:rFonts w:ascii="Albertus Extra Bold" w:hAnsi="Albertus Extra Bold"/>
          <w:b/>
        </w:rPr>
        <w:t>[</w:t>
      </w:r>
      <w:r>
        <w:t>or</w:t>
      </w:r>
      <w:r w:rsidRPr="009D7BA7">
        <w:rPr>
          <w:rFonts w:ascii="Albertus Extra Bold" w:hAnsi="Albertus Extra Bold"/>
          <w:b/>
        </w:rPr>
        <w:t>]</w:t>
      </w:r>
      <w:r>
        <w:t xml:space="preserve"> </w:t>
      </w:r>
      <w:r w:rsidRPr="009D7BA7">
        <w:rPr>
          <w:u w:val="single"/>
        </w:rPr>
        <w:t>and</w:t>
      </w:r>
      <w:r>
        <w:rPr>
          <w:rFonts w:ascii="Albertus Extra Bold" w:hAnsi="Albertus Extra Bold"/>
          <w:b/>
          <w:vertAlign w:val="superscript"/>
        </w:rPr>
        <w:t>1</w:t>
      </w:r>
      <w:r>
        <w:t xml:space="preserve"> subject the institution to a fine of not more than $500 for each violation.  The fine shall be collected by the commissioner in a summary manner pursuant to the “Penalty Enforcement Law of 1999,” P.L.1999, c.274 (C.2A:58-10 et seq.).</w:t>
      </w:r>
    </w:p>
    <w:p w:rsidR="004F21D6" w:rsidRDefault="004F21D6" w:rsidP="00D2355C"/>
    <w:p w:rsidR="00FC5C28" w:rsidRDefault="00D2355C" w:rsidP="00D2355C">
      <w:r>
        <w:tab/>
        <w:t>4.</w:t>
      </w:r>
      <w:r>
        <w:tab/>
      </w:r>
      <w:r w:rsidRPr="000E5B30">
        <w:t xml:space="preserve">The commissioner may promulgate regulations pursuant to </w:t>
      </w:r>
      <w:r w:rsidR="00A4736A">
        <w:br w:type="page"/>
      </w:r>
      <w:r w:rsidRPr="000E5B30">
        <w:lastRenderedPageBreak/>
        <w:t>the "Administrative Procedure Act," P.L.1968, c.410 (C.52:14B-1 et seq.), necessary to effectuate the provisions of this ac</w:t>
      </w:r>
      <w:r>
        <w:t>t.</w:t>
      </w:r>
    </w:p>
    <w:p w:rsidR="00FC5C28" w:rsidRDefault="00FC5C28" w:rsidP="00D2355C"/>
    <w:p w:rsidR="00D2355C" w:rsidRPr="00E7752C" w:rsidRDefault="00D2355C" w:rsidP="00D2355C">
      <w:r>
        <w:tab/>
        <w:t>5</w:t>
      </w:r>
      <w:r w:rsidRPr="000E5B30">
        <w:t>.</w:t>
      </w:r>
      <w:r>
        <w:tab/>
      </w:r>
      <w:r w:rsidRPr="000E5B30">
        <w:t>This act shall take effect on the 90</w:t>
      </w:r>
      <w:r w:rsidRPr="000E5B30">
        <w:rPr>
          <w:vertAlign w:val="superscript"/>
        </w:rPr>
        <w:t>th</w:t>
      </w:r>
      <w:r w:rsidRPr="000E5B30">
        <w:t xml:space="preserve"> day next following enactment.</w:t>
      </w:r>
    </w:p>
    <w:sectPr w:rsidR="00D2355C" w:rsidRPr="00E7752C" w:rsidSect="00A4736A">
      <w:headerReference w:type="default" r:id="rId14"/>
      <w:footerReference w:type="default" r:id="rId15"/>
      <w:headerReference w:type="first" r:id="rId16"/>
      <w:footerReference w:type="first" r:id="rId17"/>
      <w:pgSz w:w="12240" w:h="20160" w:code="5"/>
      <w:pgMar w:top="1440" w:right="2520" w:bottom="1728"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2FB" w:rsidRDefault="00B442FB">
      <w:r>
        <w:separator/>
      </w:r>
    </w:p>
  </w:endnote>
  <w:endnote w:type="continuationSeparator" w:id="0">
    <w:p w:rsidR="00B442FB" w:rsidRDefault="00B44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C28" w:rsidRPr="00921C91" w:rsidRDefault="00FC5C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5C28" w:rsidRPr="00921C91" w:rsidRDefault="00FC5C28">
    <w:pPr>
      <w:pStyle w:val="Footer"/>
      <w:rPr>
        <w:szCs w:val="18"/>
      </w:rPr>
    </w:pPr>
  </w:p>
  <w:p w:rsidR="00FC5C28" w:rsidRPr="00921C91" w:rsidRDefault="00FC5C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5C28" w:rsidRDefault="00FC5C28">
    <w:pPr>
      <w:pStyle w:val="Footer"/>
    </w:pPr>
    <w:r>
      <w:tab/>
      <w:t>Matter enclosed in superscript numerals has been adopted as follows:</w:t>
    </w:r>
  </w:p>
  <w:p w:rsidR="00FC5C28" w:rsidRDefault="00FC5C2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June 2, 2021.</w:t>
    </w:r>
  </w:p>
  <w:p w:rsidR="00FC5C28" w:rsidRPr="00FC5C28" w:rsidRDefault="00FC5C2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2FB" w:rsidRDefault="00B442FB">
      <w:r>
        <w:separator/>
      </w:r>
    </w:p>
  </w:footnote>
  <w:footnote w:type="continuationSeparator" w:id="0">
    <w:p w:rsidR="00B442FB" w:rsidRDefault="00B44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4D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70D5" w:rsidRDefault="007070D5" w:rsidP="007070D5">
    <w:pPr>
      <w:pStyle w:val="bpuHeadSpon"/>
    </w:pPr>
    <w:r w:rsidRPr="007070D5">
      <w:rPr>
        <w:rStyle w:val="bpuHeadSponChar"/>
      </w:rPr>
      <w:t>A1728</w:t>
    </w:r>
    <w:r>
      <w:t xml:space="preserve"> </w:t>
    </w:r>
    <w:r w:rsidR="00FC5C28">
      <w:t xml:space="preserve">[1R] </w:t>
    </w:r>
    <w:r>
      <w:t>MCKNIGHT, DANIELSEN</w:t>
    </w:r>
  </w:p>
  <w:p w:rsidR="007070D5" w:rsidRDefault="007070D5" w:rsidP="007070D5">
    <w:pPr>
      <w:pStyle w:val="bpuHeadSpon"/>
    </w:pPr>
    <w:r>
      <w:fldChar w:fldCharType="begin"/>
    </w:r>
    <w:r>
      <w:instrText xml:space="preserve"> PAGE  \* MERGEFORMAT </w:instrText>
    </w:r>
    <w:r>
      <w:fldChar w:fldCharType="separate"/>
    </w:r>
    <w:r w:rsidR="000B4DFA">
      <w:rPr>
        <w:noProof/>
      </w:rPr>
      <w:t>3</w:t>
    </w:r>
    <w:r>
      <w:fldChar w:fldCharType="end"/>
    </w:r>
  </w:p>
  <w:p w:rsidR="007070D5" w:rsidRPr="00AF575C" w:rsidRDefault="007070D5" w:rsidP="007070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70D5" w:rsidRDefault="007070D5" w:rsidP="007070D5">
    <w:pPr>
      <w:pStyle w:val="bpuHeadSpon"/>
    </w:pPr>
    <w:r w:rsidRPr="007070D5">
      <w:rPr>
        <w:rStyle w:val="bpuHeadSponChar"/>
      </w:rPr>
      <w:t>A1728</w:t>
    </w:r>
    <w:r>
      <w:t xml:space="preserve"> </w:t>
    </w:r>
    <w:r w:rsidR="00FC5C28">
      <w:t xml:space="preserve">[1R] </w:t>
    </w:r>
    <w:r>
      <w:t>MCKNIGHT, DANIELSEN</w:t>
    </w:r>
  </w:p>
  <w:p w:rsidR="007070D5" w:rsidRDefault="007070D5" w:rsidP="007070D5">
    <w:pPr>
      <w:pStyle w:val="bpuHeadSpon"/>
    </w:pPr>
    <w:r>
      <w:fldChar w:fldCharType="begin"/>
    </w:r>
    <w:r>
      <w:instrText xml:space="preserve"> PAGE  \* MERGEFORMAT </w:instrText>
    </w:r>
    <w:r>
      <w:fldChar w:fldCharType="separate"/>
    </w:r>
    <w:r w:rsidR="000B4DFA">
      <w:rPr>
        <w:noProof/>
      </w:rPr>
      <w:t>2</w:t>
    </w:r>
    <w:r>
      <w:fldChar w:fldCharType="end"/>
    </w:r>
  </w:p>
  <w:p w:rsidR="007070D5" w:rsidRDefault="007070D5" w:rsidP="007070D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9B2760"/>
    <w:multiLevelType w:val="hybridMultilevel"/>
    <w:tmpl w:val="1B6C6DD6"/>
    <w:lvl w:ilvl="0" w:tplc="B4EAF86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2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04E"/>
    <w:rsid w:val="000B3B59"/>
    <w:rsid w:val="000B4DFA"/>
    <w:rsid w:val="000B64A4"/>
    <w:rsid w:val="000C657D"/>
    <w:rsid w:val="000D114D"/>
    <w:rsid w:val="000D6A40"/>
    <w:rsid w:val="000D6DFF"/>
    <w:rsid w:val="000E4219"/>
    <w:rsid w:val="000E4294"/>
    <w:rsid w:val="000E5EF5"/>
    <w:rsid w:val="000F6E7F"/>
    <w:rsid w:val="000F7BFB"/>
    <w:rsid w:val="000F7FF6"/>
    <w:rsid w:val="0010122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E49"/>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1D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C74"/>
    <w:rsid w:val="00686754"/>
    <w:rsid w:val="006878F9"/>
    <w:rsid w:val="0069522C"/>
    <w:rsid w:val="00695BC5"/>
    <w:rsid w:val="006A3786"/>
    <w:rsid w:val="006B2FCF"/>
    <w:rsid w:val="006C3B76"/>
    <w:rsid w:val="006C4542"/>
    <w:rsid w:val="006D65B4"/>
    <w:rsid w:val="006E36B4"/>
    <w:rsid w:val="006F4C44"/>
    <w:rsid w:val="006F652B"/>
    <w:rsid w:val="0070018A"/>
    <w:rsid w:val="007070D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BC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36A"/>
    <w:rsid w:val="00A55E7F"/>
    <w:rsid w:val="00A63229"/>
    <w:rsid w:val="00A64CED"/>
    <w:rsid w:val="00A653FD"/>
    <w:rsid w:val="00A7050B"/>
    <w:rsid w:val="00A721B4"/>
    <w:rsid w:val="00A72513"/>
    <w:rsid w:val="00A95220"/>
    <w:rsid w:val="00AA2491"/>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2FB"/>
    <w:rsid w:val="00B7201D"/>
    <w:rsid w:val="00B809B3"/>
    <w:rsid w:val="00B80AFD"/>
    <w:rsid w:val="00B854DC"/>
    <w:rsid w:val="00B90F81"/>
    <w:rsid w:val="00B91BF9"/>
    <w:rsid w:val="00BB2482"/>
    <w:rsid w:val="00BC4545"/>
    <w:rsid w:val="00BC6C2C"/>
    <w:rsid w:val="00BD79EC"/>
    <w:rsid w:val="00BE204A"/>
    <w:rsid w:val="00BE26FC"/>
    <w:rsid w:val="00BF23C7"/>
    <w:rsid w:val="00BF7456"/>
    <w:rsid w:val="00C035F3"/>
    <w:rsid w:val="00C078A1"/>
    <w:rsid w:val="00C3401C"/>
    <w:rsid w:val="00C473B8"/>
    <w:rsid w:val="00C603F9"/>
    <w:rsid w:val="00C614C5"/>
    <w:rsid w:val="00C83317"/>
    <w:rsid w:val="00C9166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55C"/>
    <w:rsid w:val="00D23780"/>
    <w:rsid w:val="00D23B2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0B73"/>
    <w:rsid w:val="00F42480"/>
    <w:rsid w:val="00F62572"/>
    <w:rsid w:val="00F6488F"/>
    <w:rsid w:val="00F70CF6"/>
    <w:rsid w:val="00F85DDC"/>
    <w:rsid w:val="00F91244"/>
    <w:rsid w:val="00F95319"/>
    <w:rsid w:val="00FB3056"/>
    <w:rsid w:val="00FB309C"/>
    <w:rsid w:val="00FB3C7C"/>
    <w:rsid w:val="00FB6E52"/>
    <w:rsid w:val="00FC5994"/>
    <w:rsid w:val="00FC5C28"/>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9A1B45-CEB7-425B-9AD8-C1161B45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F21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21D6"/>
    <w:rPr>
      <w:rFonts w:ascii="Segoe UI" w:hAnsi="Segoe UI" w:cs="Segoe UI"/>
      <w:spacing w:val="4"/>
      <w:sz w:val="18"/>
      <w:szCs w:val="18"/>
    </w:rPr>
  </w:style>
  <w:style w:type="character" w:styleId="LineNumber">
    <w:name w:val="line number"/>
    <w:basedOn w:val="DefaultParagraphFont"/>
    <w:semiHidden/>
    <w:unhideWhenUsed/>
    <w:rsid w:val="00707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B825B-AC8E-47A1-BE53-1DBE75DCF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472</Words>
  <Characters>2608</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A1728 1R</vt:lpstr>
    </vt:vector>
  </TitlesOfParts>
  <Manager>R225</Manager>
  <Company>OFFICE of LEGISLATIVE SERVICES</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A1728 1R</dc:title>
  <dc:creator>Assemblywoman  MCKNIGHT, Assemblyman  DANIELSEN</dc:creator>
  <cp:keywords>A1728|3|CL |307|318|307|!|0|</cp:keywords>
  <dc:description>PREFILED 2020_x000d_
Amended/TR 6/2/21</dc:description>
  <cp:lastModifiedBy>Siracusa, Nicole</cp:lastModifiedBy>
  <cp:revision>2</cp:revision>
  <cp:lastPrinted>2020-01-11T13:35:00Z</cp:lastPrinted>
  <dcterms:created xsi:type="dcterms:W3CDTF">2021-06-03T15:11:00Z</dcterms:created>
  <dcterms:modified xsi:type="dcterms:W3CDTF">2021-06-03T15:11:00Z</dcterms:modified>
  <cp:category>ss. 1-3: 17:16AA-1 et seq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