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8EE" w:rsidRDefault="00D368EE" w:rsidP="00D368EE">
      <w:pPr>
        <w:pStyle w:val="bpuReprint"/>
      </w:pPr>
      <w:bookmarkStart w:id="0" w:name="bpuFrontPg"/>
      <w:bookmarkStart w:id="1" w:name="_GoBack"/>
      <w:bookmarkEnd w:id="0"/>
      <w:bookmarkEnd w:id="1"/>
      <w:r>
        <w:t>[First Reprint]</w:t>
      </w:r>
    </w:p>
    <w:p w:rsidR="00A115B5" w:rsidRDefault="00A115B5" w:rsidP="00A115B5">
      <w:pPr>
        <w:pStyle w:val="bpuBill"/>
      </w:pPr>
      <w:r>
        <w:t xml:space="preserve">ASSEMBLY, No. 1740 </w:t>
      </w:r>
    </w:p>
    <w:p w:rsidR="00A115B5" w:rsidRPr="00A115B5" w:rsidRDefault="00A115B5" w:rsidP="00A115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4131" r:id="rId8"/>
        </w:object>
      </w:r>
    </w:p>
    <w:p w:rsidR="00A115B5" w:rsidRDefault="00A115B5" w:rsidP="00A115B5">
      <w:pPr>
        <w:pStyle w:val="bpuState"/>
      </w:pPr>
      <w:r>
        <w:t>STATE OF NEW JERSEY</w:t>
      </w:r>
    </w:p>
    <w:p w:rsidR="00A115B5" w:rsidRDefault="00A115B5" w:rsidP="00A115B5">
      <w:pPr>
        <w:pStyle w:val="bpuLegislature"/>
      </w:pPr>
      <w:r>
        <w:t>219th LEGISLATURE</w:t>
      </w:r>
    </w:p>
    <w:p w:rsidR="00A115B5" w:rsidRDefault="00A115B5" w:rsidP="00A115B5">
      <w:pPr>
        <w:pStyle w:val="bpuWpGraphic"/>
      </w:pPr>
      <w:r>
        <w:object w:dxaOrig="8985" w:dyaOrig="255">
          <v:shape id="_x0000_i1026" type="#_x0000_t75" style="width:6in;height:11.9pt" o:ole="">
            <v:imagedata r:id="rId7" o:title=""/>
          </v:shape>
          <o:OLEObject Type="Embed" ProgID="WPWin6.1" ShapeID="_x0000_i1026" DrawAspect="Content" ObjectID="_1700304132" r:id="rId9"/>
        </w:object>
      </w:r>
      <w:r>
        <w:t xml:space="preserve">  </w:t>
      </w:r>
    </w:p>
    <w:p w:rsidR="00A115B5" w:rsidRDefault="00A115B5" w:rsidP="00A115B5">
      <w:pPr>
        <w:pStyle w:val="bpuIntro"/>
      </w:pPr>
      <w:r>
        <w:t>PRE-FILED FOR INTRODUCTION IN THE 2020 SESSION</w:t>
      </w:r>
    </w:p>
    <w:p w:rsidR="00A115B5" w:rsidRDefault="00A115B5" w:rsidP="00A115B5">
      <w:pPr>
        <w:pStyle w:val="bpuIntro"/>
      </w:pPr>
    </w:p>
    <w:p w:rsidR="00A115B5" w:rsidRDefault="00A115B5" w:rsidP="00A115B5">
      <w:pPr>
        <w:pStyle w:val="bpuIntro"/>
        <w:sectPr w:rsidR="00A115B5" w:rsidSect="00155A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115B5" w:rsidRDefault="00A115B5" w:rsidP="00A115B5">
      <w:pPr>
        <w:pStyle w:val="bpuIntro"/>
      </w:pPr>
    </w:p>
    <w:p w:rsidR="00A115B5" w:rsidRDefault="00A115B5" w:rsidP="00A115B5">
      <w:pPr>
        <w:pStyle w:val="bpuSponsor"/>
      </w:pPr>
      <w:r>
        <w:t>Sponsored by:</w:t>
      </w:r>
    </w:p>
    <w:p w:rsidR="00A115B5" w:rsidRDefault="00A115B5" w:rsidP="00A115B5">
      <w:pPr>
        <w:pStyle w:val="bpuSponsor"/>
      </w:pPr>
      <w:r>
        <w:t>Assemblywoman  ANGELA V. MCKNIGHT</w:t>
      </w:r>
    </w:p>
    <w:p w:rsidR="00A115B5" w:rsidRDefault="00A115B5" w:rsidP="00A115B5">
      <w:pPr>
        <w:pStyle w:val="bpuSponsor"/>
      </w:pPr>
      <w:r>
        <w:t>District 31 (Hudson)</w:t>
      </w:r>
    </w:p>
    <w:p w:rsidR="00A115B5" w:rsidRDefault="00A115B5" w:rsidP="00A115B5">
      <w:pPr>
        <w:pStyle w:val="bpuSponsor"/>
      </w:pPr>
      <w:r>
        <w:t>Assemblywoman  ANNETTE CHAPARRO</w:t>
      </w:r>
    </w:p>
    <w:p w:rsidR="00A115B5" w:rsidRDefault="00A115B5" w:rsidP="00A115B5">
      <w:pPr>
        <w:pStyle w:val="bpuSponsor"/>
      </w:pPr>
      <w:r>
        <w:t>District 33 (Hudson)</w:t>
      </w:r>
    </w:p>
    <w:p w:rsidR="00A115B5" w:rsidRDefault="00A115B5" w:rsidP="00A115B5">
      <w:pPr>
        <w:pStyle w:val="bpuSponsor"/>
      </w:pPr>
      <w:r>
        <w:t>Assemblywoman  JOANN DOWNEY</w:t>
      </w:r>
    </w:p>
    <w:p w:rsidR="00A115B5" w:rsidRDefault="00A115B5" w:rsidP="00A115B5">
      <w:pPr>
        <w:pStyle w:val="bpuSponsor"/>
      </w:pPr>
      <w:r>
        <w:t>District 11 (Monmouth)</w:t>
      </w:r>
    </w:p>
    <w:p w:rsidR="00A115B5" w:rsidRDefault="00A115B5" w:rsidP="00A115B5">
      <w:pPr>
        <w:pStyle w:val="bpuSponsor"/>
      </w:pPr>
    </w:p>
    <w:p w:rsidR="00331B4D" w:rsidRDefault="00155A78" w:rsidP="00155A78">
      <w:pPr>
        <w:pStyle w:val="bpuSponsor"/>
      </w:pPr>
      <w:r>
        <w:t>Co-Sponsored by:</w:t>
      </w:r>
    </w:p>
    <w:p w:rsidR="00155A78" w:rsidRPr="00155A78" w:rsidRDefault="00155A78" w:rsidP="00155A78">
      <w:pPr>
        <w:pStyle w:val="bpuSponsor"/>
      </w:pPr>
      <w:r w:rsidRPr="00155A78">
        <w:t xml:space="preserve">Assemblywoman Murphy, Assemblyman Benson, Assemblywomen Reynolds-Jackson, Speight, </w:t>
      </w:r>
      <w:proofErr w:type="spellStart"/>
      <w:r w:rsidRPr="00155A78">
        <w:t>Jasey</w:t>
      </w:r>
      <w:proofErr w:type="spellEnd"/>
      <w:r w:rsidRPr="00155A78">
        <w:t xml:space="preserve"> and Assemblyman Conaway</w:t>
      </w:r>
    </w:p>
    <w:p w:rsidR="00A115B5" w:rsidRDefault="00A115B5" w:rsidP="00A115B5"/>
    <w:p w:rsidR="00331B4D" w:rsidRDefault="00331B4D" w:rsidP="00A115B5"/>
    <w:p w:rsidR="00A115B5" w:rsidRPr="00A115B5" w:rsidRDefault="00A115B5" w:rsidP="00A115B5"/>
    <w:p w:rsidR="00A115B5" w:rsidRDefault="00A115B5" w:rsidP="00A115B5">
      <w:pPr>
        <w:pStyle w:val="bpuSponsor"/>
      </w:pPr>
    </w:p>
    <w:p w:rsidR="00A115B5" w:rsidRDefault="00A115B5" w:rsidP="00A115B5">
      <w:pPr>
        <w:pStyle w:val="bpuSponsor"/>
      </w:pPr>
      <w:r>
        <w:t>SYNOPSIS</w:t>
      </w:r>
    </w:p>
    <w:p w:rsidR="00A115B5" w:rsidRDefault="00A115B5" w:rsidP="00A115B5">
      <w:pPr>
        <w:pStyle w:val="bpuNormText"/>
      </w:pPr>
      <w:r>
        <w:tab/>
        <w:t xml:space="preserve">Prohibits late penalties from being made against senior citizen tenants in certain senior citizen rental housing in certain circumstances. </w:t>
      </w:r>
    </w:p>
    <w:p w:rsidR="00A115B5" w:rsidRDefault="00A115B5" w:rsidP="00A115B5">
      <w:pPr>
        <w:pStyle w:val="bpuNormText"/>
      </w:pPr>
    </w:p>
    <w:p w:rsidR="00A115B5" w:rsidRDefault="00A115B5" w:rsidP="00A115B5">
      <w:pPr>
        <w:pStyle w:val="bpuSponsor"/>
      </w:pPr>
      <w:r>
        <w:t xml:space="preserve">CURRENT VERSION OF TEXT </w:t>
      </w:r>
    </w:p>
    <w:p w:rsidR="00A115B5" w:rsidRDefault="00D368EE" w:rsidP="00A115B5">
      <w:pPr>
        <w:pStyle w:val="bpuNormText"/>
      </w:pPr>
      <w:r>
        <w:tab/>
        <w:t>As reported by the Assembly Housing Committee on March 8, 2021, with amendments.</w:t>
      </w:r>
    </w:p>
    <w:p w:rsidR="00A115B5" w:rsidRDefault="00A115B5" w:rsidP="00A115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15B5" w:rsidRDefault="00A115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15B5" w:rsidSect="00A115B5">
          <w:type w:val="continuous"/>
          <w:pgSz w:w="12240" w:h="20160" w:code="5"/>
          <w:pgMar w:top="2160" w:right="2275" w:bottom="1440" w:left="2275" w:header="72" w:footer="720" w:gutter="0"/>
          <w:pgNumType w:start="1"/>
          <w:cols w:space="720"/>
          <w:docGrid w:linePitch="360"/>
        </w:sectPr>
      </w:pPr>
    </w:p>
    <w:p w:rsidR="00D8299A" w:rsidRPr="00677316" w:rsidRDefault="00D8299A" w:rsidP="00D8299A">
      <w:pPr>
        <w:pStyle w:val="HangingAnAct"/>
        <w:rPr>
          <w:rStyle w:val="HangingAnActChar"/>
        </w:rPr>
      </w:pPr>
      <w:r w:rsidRPr="00D8299A">
        <w:rPr>
          <w:rStyle w:val="BillHead"/>
        </w:rPr>
        <w:lastRenderedPageBreak/>
        <w:t>An Act</w:t>
      </w:r>
      <w:r w:rsidRPr="006B7FA7">
        <w:rPr>
          <w:rStyle w:val="HangingAnActChar"/>
        </w:rPr>
        <w:t xml:space="preserve"> </w:t>
      </w:r>
      <w:r>
        <w:rPr>
          <w:rStyle w:val="HangingAnActChar"/>
        </w:rPr>
        <w:t>concerning delinquency and other late charges for certain senior citizen rental housing</w:t>
      </w:r>
      <w:r>
        <w:t>, and amending and supplementing P.L.1976, c.100</w:t>
      </w:r>
      <w:r>
        <w:rPr>
          <w:rStyle w:val="HangingAnActChar"/>
        </w:rPr>
        <w:t>.</w:t>
      </w:r>
    </w:p>
    <w:p w:rsidR="00D8299A" w:rsidRPr="00D71D68" w:rsidRDefault="00D8299A" w:rsidP="00D8299A"/>
    <w:p w:rsidR="00D8299A" w:rsidRPr="00AA7880" w:rsidRDefault="00D8299A" w:rsidP="00D8299A">
      <w:r>
        <w:tab/>
      </w:r>
      <w:r>
        <w:rPr>
          <w:rStyle w:val="BillHeading2"/>
        </w:rPr>
        <w:t xml:space="preserve">Be It Enacted </w:t>
      </w:r>
      <w:r>
        <w:rPr>
          <w:rStyle w:val="BillLanguage"/>
        </w:rPr>
        <w:t>by the Senate and General Assembly of the State of New Jersey:</w:t>
      </w:r>
    </w:p>
    <w:p w:rsidR="00D8299A" w:rsidRDefault="00D8299A" w:rsidP="00D8299A"/>
    <w:p w:rsidR="00D368EE" w:rsidRPr="00F83873" w:rsidRDefault="00D368EE" w:rsidP="00D368EE">
      <w:pPr>
        <w:tabs>
          <w:tab w:val="clear" w:pos="2160"/>
          <w:tab w:val="clear" w:pos="2880"/>
          <w:tab w:val="left" w:pos="2340"/>
          <w:tab w:val="left" w:pos="2700"/>
        </w:tabs>
      </w:pPr>
      <w:r>
        <w:tab/>
        <w:t>1.</w:t>
      </w:r>
      <w:r>
        <w:tab/>
        <w:t>(New section)</w:t>
      </w:r>
      <w:r>
        <w:tab/>
      </w:r>
      <w:r w:rsidRPr="00F83873">
        <w:t>a.</w:t>
      </w:r>
      <w:r>
        <w:tab/>
      </w:r>
      <w:r w:rsidRPr="00F83873">
        <w:t>As used in this section:</w:t>
      </w:r>
    </w:p>
    <w:p w:rsidR="00D368EE" w:rsidRPr="00F83873" w:rsidRDefault="00D368EE" w:rsidP="00D368EE">
      <w:r w:rsidRPr="00F83873">
        <w:tab/>
        <w:t>"Business day" means any day other than a Saturday, Sunday or State or federal holiday.</w:t>
      </w:r>
    </w:p>
    <w:p w:rsidR="00D368EE" w:rsidRPr="00F83873" w:rsidRDefault="00D368EE" w:rsidP="00D368EE">
      <w:r w:rsidRPr="00F83873">
        <w:tab/>
        <w:t>"Health care facility" means a health care facility licensed by the Department of Health  pursuant to P.L.1971, c.136 (C.26:2H-1 et seq.), a psychiatric hospital operated by the Department of Human Services and listed in R.S.30:1-7, or any similar facility licensed by and operating in another state.</w:t>
      </w:r>
    </w:p>
    <w:p w:rsidR="00D368EE" w:rsidRPr="00F83873" w:rsidRDefault="00D368EE" w:rsidP="00D368EE">
      <w:r w:rsidRPr="00F83873">
        <w:tab/>
        <w:t xml:space="preserve">"Senior citizen" means a person 62 years of age or over and shall include a surviving spouse if that surviving spouse is 55 years of age or over.  </w:t>
      </w:r>
    </w:p>
    <w:p w:rsidR="00D368EE" w:rsidRPr="00F83873" w:rsidRDefault="00D368EE" w:rsidP="00D368EE">
      <w:r>
        <w:tab/>
      </w:r>
      <w:r w:rsidRPr="00F83873">
        <w:t xml:space="preserve">"Senior citizen housing project" means any building or structure, and any land appurtenant thereto, having three or more rental dwelling units intended for, and solely occupied by, senior citizens; except that, it shall not include owner-occupied premises having not more than three dwelling units that are rented or offered for rent, or any health care facility as defined in the "Health Care Facilities Planning Act," P.L.1971, c.136 (C.26:2H-1 et seq.).  </w:t>
      </w:r>
    </w:p>
    <w:p w:rsidR="00D368EE" w:rsidRPr="00F83873" w:rsidRDefault="00D368EE" w:rsidP="00D368EE">
      <w:r>
        <w:tab/>
        <w:t xml:space="preserve">b.  </w:t>
      </w:r>
      <w:r>
        <w:rPr>
          <w:rFonts w:ascii="Albertus Extra Bold" w:hAnsi="Albertus Extra Bold"/>
          <w:b/>
          <w:vertAlign w:val="superscript"/>
        </w:rPr>
        <w:t>1</w:t>
      </w:r>
      <w:r w:rsidRPr="00DC5F92">
        <w:rPr>
          <w:rFonts w:ascii="Albertus Extra Bold" w:hAnsi="Albertus Extra Bold"/>
          <w:b/>
        </w:rPr>
        <w:t>[</w:t>
      </w:r>
      <w:r w:rsidRPr="00F83873">
        <w:t>A</w:t>
      </w:r>
      <w:r w:rsidRPr="00DC5F92">
        <w:t xml:space="preserve"> delinquency or</w:t>
      </w:r>
      <w:r w:rsidRPr="00DC5F92">
        <w:rPr>
          <w:rFonts w:ascii="Albertus Extra Bold" w:hAnsi="Albertus Extra Bold"/>
          <w:b/>
        </w:rPr>
        <w:t>]</w:t>
      </w:r>
      <w:r>
        <w:t xml:space="preserve"> </w:t>
      </w:r>
      <w:r>
        <w:rPr>
          <w:u w:val="single"/>
        </w:rPr>
        <w:t>Upon receipt of written proof that a senior citizen residing in a senior citizen housing project was admitted to a health care facility, a landlord shall waive any</w:t>
      </w:r>
      <w:r>
        <w:rPr>
          <w:rFonts w:ascii="Albertus Extra Bold" w:hAnsi="Albertus Extra Bold"/>
          <w:b/>
          <w:vertAlign w:val="superscript"/>
        </w:rPr>
        <w:t>1</w:t>
      </w:r>
      <w:r w:rsidRPr="00F83873">
        <w:t xml:space="preserve"> late charge </w:t>
      </w:r>
      <w:r>
        <w:rPr>
          <w:rFonts w:ascii="Albertus Extra Bold" w:hAnsi="Albertus Extra Bold"/>
          <w:b/>
          <w:vertAlign w:val="superscript"/>
        </w:rPr>
        <w:t>1</w:t>
      </w:r>
      <w:r w:rsidRPr="00FF489F">
        <w:rPr>
          <w:rFonts w:ascii="Albertus Extra Bold" w:hAnsi="Albertus Extra Bold"/>
          <w:b/>
        </w:rPr>
        <w:t>[</w:t>
      </w:r>
      <w:r w:rsidRPr="00F83873">
        <w:t xml:space="preserve">shall not be </w:t>
      </w:r>
      <w:r w:rsidRPr="000F085D">
        <w:t>imposed upon</w:t>
      </w:r>
      <w:r w:rsidRPr="00F83873">
        <w:t xml:space="preserve"> a senior citizen residing in a senior citizen housing project during any time period in which the senior citizen was unable to make a rent payment due to the senior citizen being admitted to a health care facility</w:t>
      </w:r>
      <w:r w:rsidRPr="000F085D">
        <w:t>, and including the five business day period immediately following the return of the senior citizen to the rental premises, except that the senior citizen, or a representative thereof, shall provide written proof of the admittance to the landlord before the completion of the fifth business day immediately following the return of the senior citizen to the rental premises</w:t>
      </w:r>
      <w:r>
        <w:t xml:space="preserve">. </w:t>
      </w:r>
      <w:r w:rsidRPr="00F83873">
        <w:t>Upon discharge from a health care facility, the senior citizen shall have five business days to remit payment of any rent due</w:t>
      </w:r>
      <w:r w:rsidRPr="00FF489F">
        <w:rPr>
          <w:rFonts w:ascii="Albertus Extra Bold" w:hAnsi="Albertus Extra Bold"/>
          <w:b/>
        </w:rPr>
        <w:t>]</w:t>
      </w:r>
      <w:r>
        <w:t xml:space="preserve"> </w:t>
      </w:r>
      <w:r>
        <w:rPr>
          <w:u w:val="single"/>
        </w:rPr>
        <w:t>incurred by the tenant during the period of hospitalization and the grace period of five business days following discharge</w:t>
      </w:r>
      <w:r>
        <w:rPr>
          <w:rFonts w:ascii="Albertus Extra Bold" w:hAnsi="Albertus Extra Bold"/>
          <w:b/>
          <w:vertAlign w:val="superscript"/>
        </w:rPr>
        <w:t>1</w:t>
      </w:r>
      <w:r w:rsidRPr="00F83873">
        <w:t xml:space="preserve">. </w:t>
      </w:r>
      <w:r>
        <w:t xml:space="preserve"> </w:t>
      </w:r>
      <w:r w:rsidRPr="00F83873">
        <w:t xml:space="preserve">If payment of rent is not remitted within five business days following discharge, any </w:t>
      </w:r>
      <w:r>
        <w:rPr>
          <w:rFonts w:ascii="Albertus Extra Bold" w:hAnsi="Albertus Extra Bold"/>
          <w:b/>
          <w:vertAlign w:val="superscript"/>
        </w:rPr>
        <w:t>1</w:t>
      </w:r>
      <w:r w:rsidRPr="009B463F">
        <w:rPr>
          <w:rFonts w:ascii="Albertus Extra Bold" w:hAnsi="Albertus Extra Bold"/>
          <w:b/>
        </w:rPr>
        <w:t>[</w:t>
      </w:r>
      <w:r w:rsidRPr="00F83873">
        <w:t>delinquency or other</w:t>
      </w:r>
      <w:r w:rsidRPr="009B463F">
        <w:rPr>
          <w:rFonts w:ascii="Albertus Extra Bold" w:hAnsi="Albertus Extra Bold"/>
          <w:b/>
        </w:rPr>
        <w:t>]</w:t>
      </w:r>
      <w:r>
        <w:rPr>
          <w:rFonts w:ascii="Albertus Extra Bold" w:hAnsi="Albertus Extra Bold"/>
          <w:b/>
          <w:vertAlign w:val="superscript"/>
        </w:rPr>
        <w:t>1</w:t>
      </w:r>
      <w:r w:rsidRPr="00F83873">
        <w:t xml:space="preserve"> late charge permitted </w:t>
      </w:r>
      <w:r>
        <w:t>under law may</w:t>
      </w:r>
      <w:r w:rsidRPr="00F83873">
        <w:t xml:space="preserve"> be </w:t>
      </w:r>
      <w:r>
        <w:t xml:space="preserve"> </w:t>
      </w:r>
      <w:r w:rsidRPr="000F085D">
        <w:t>imposed upon</w:t>
      </w:r>
      <w:r w:rsidRPr="00F83873">
        <w:t xml:space="preserve"> the senior citizen. </w:t>
      </w:r>
    </w:p>
    <w:p w:rsidR="00D368EE" w:rsidRDefault="00D368EE" w:rsidP="00D368EE">
      <w:r w:rsidRPr="00F83873">
        <w:tab/>
      </w:r>
      <w:r>
        <w:t>The</w:t>
      </w:r>
      <w:r w:rsidRPr="00F83873">
        <w:t xml:space="preserve"> grace period of five business days shall not commence following discharge from a health care facility if the senior citizen is admitted to a subsequent health care facility and does not return to the rental premises following discharge from the prior health care facility</w:t>
      </w:r>
      <w:r>
        <w:t xml:space="preserve"> </w:t>
      </w:r>
      <w:r>
        <w:rPr>
          <w:rFonts w:ascii="Albertus Extra Bold" w:hAnsi="Albertus Extra Bold"/>
          <w:b/>
          <w:vertAlign w:val="superscript"/>
        </w:rPr>
        <w:t>1</w:t>
      </w:r>
      <w:r>
        <w:rPr>
          <w:u w:val="single"/>
        </w:rPr>
        <w:t>, p</w:t>
      </w:r>
      <w:r w:rsidRPr="00A866C3">
        <w:rPr>
          <w:u w:val="single"/>
        </w:rPr>
        <w:t>rovided</w:t>
      </w:r>
      <w:r>
        <w:rPr>
          <w:u w:val="single"/>
        </w:rPr>
        <w:t xml:space="preserve"> that a tenant shall remain responsible for any rent which is due or may become due before the lease expires or is terminated pursuant to the provisions of the lease agreement or State law</w:t>
      </w:r>
      <w:r>
        <w:rPr>
          <w:rFonts w:ascii="Albertus Extra Bold" w:hAnsi="Albertus Extra Bold"/>
          <w:b/>
          <w:vertAlign w:val="superscript"/>
        </w:rPr>
        <w:t>1</w:t>
      </w:r>
      <w:r w:rsidRPr="00F83873">
        <w:t>.</w:t>
      </w:r>
    </w:p>
    <w:p w:rsidR="00D368EE" w:rsidRDefault="00D368EE" w:rsidP="00D368EE">
      <w:r>
        <w:tab/>
        <w:t>c.</w:t>
      </w:r>
      <w:r>
        <w:tab/>
        <w:t xml:space="preserve">A person violating the provisions of this section shall be </w:t>
      </w:r>
      <w:r>
        <w:rPr>
          <w:rFonts w:ascii="Albertus Extra Bold" w:hAnsi="Albertus Extra Bold"/>
          <w:b/>
          <w:vertAlign w:val="superscript"/>
        </w:rPr>
        <w:t>1</w:t>
      </w:r>
      <w:r w:rsidRPr="003C70AE">
        <w:rPr>
          <w:rFonts w:ascii="Albertus Extra Bold" w:hAnsi="Albertus Extra Bold"/>
          <w:b/>
        </w:rPr>
        <w:t>[</w:t>
      </w:r>
      <w:r>
        <w:t xml:space="preserve">a disorderly person </w:t>
      </w:r>
      <w:r w:rsidRPr="000F085D">
        <w:t>pursuant to section 2 of P.L.1976, c.100 (C.2A:42-6.2)</w:t>
      </w:r>
      <w:r w:rsidRPr="003C70AE">
        <w:rPr>
          <w:rFonts w:ascii="Albertus Extra Bold" w:hAnsi="Albertus Extra Bold"/>
          <w:b/>
        </w:rPr>
        <w:t>]</w:t>
      </w:r>
      <w:r>
        <w:t xml:space="preserve"> </w:t>
      </w:r>
      <w:r w:rsidRPr="00A866C3">
        <w:rPr>
          <w:u w:val="single"/>
        </w:rPr>
        <w:t xml:space="preserve">subject to a fine of $100 for </w:t>
      </w:r>
      <w:r>
        <w:rPr>
          <w:u w:val="single"/>
        </w:rPr>
        <w:t>a first offense, a fine of $250 for a second offense, and a fine of $500 for a third or subsequent offense.  The action shall be brought by the Attorney General in a summary proceeding pursuant to the “</w:t>
      </w:r>
      <w:r w:rsidRPr="007664BD">
        <w:rPr>
          <w:u w:val="single"/>
        </w:rPr>
        <w:t>Penalty Enforcement Law of 1999," P.L.1999, c.274 (C.2A:58-10 et seq.)</w:t>
      </w:r>
      <w:r>
        <w:rPr>
          <w:rFonts w:ascii="Albertus Extra Bold" w:hAnsi="Albertus Extra Bold"/>
          <w:b/>
          <w:vertAlign w:val="superscript"/>
        </w:rPr>
        <w:t>1</w:t>
      </w:r>
      <w:r>
        <w:t xml:space="preserve">.  </w:t>
      </w:r>
    </w:p>
    <w:p w:rsidR="00D8299A" w:rsidRPr="007A75D1" w:rsidRDefault="00D8299A" w:rsidP="00D8299A"/>
    <w:p w:rsidR="00D8299A" w:rsidRDefault="00D8299A" w:rsidP="00D8299A">
      <w:r>
        <w:tab/>
      </w:r>
      <w:r w:rsidR="00D368EE">
        <w:rPr>
          <w:rFonts w:ascii="Albertus Extra Bold" w:hAnsi="Albertus Extra Bold"/>
          <w:b/>
          <w:vertAlign w:val="superscript"/>
        </w:rPr>
        <w:t>1</w:t>
      </w:r>
      <w:r w:rsidR="00D368EE" w:rsidRPr="00D368EE">
        <w:rPr>
          <w:rFonts w:ascii="Albertus Extra Bold" w:hAnsi="Albertus Extra Bold"/>
          <w:b/>
        </w:rPr>
        <w:t>[</w:t>
      </w:r>
      <w:r w:rsidR="00D368EE">
        <w:t xml:space="preserve">2.  </w:t>
      </w:r>
      <w:r>
        <w:t>Section 2 of P.L.1976, c.100 (C.2A:42-6.2) is amended to read as follows:</w:t>
      </w:r>
    </w:p>
    <w:p w:rsidR="00D8299A" w:rsidRDefault="00D8299A" w:rsidP="00D8299A">
      <w:r>
        <w:tab/>
        <w:t>2.</w:t>
      </w:r>
      <w:r>
        <w:tab/>
      </w:r>
      <w:r w:rsidRPr="00BB7934">
        <w:t xml:space="preserve">Any person violating the provisions of </w:t>
      </w:r>
      <w:r w:rsidRPr="00BB7934">
        <w:rPr>
          <w:rFonts w:ascii="Albertus Extra Bold" w:hAnsi="Albertus Extra Bold"/>
          <w:b/>
        </w:rPr>
        <w:t>[</w:t>
      </w:r>
      <w:r>
        <w:t>this act</w:t>
      </w:r>
      <w:r w:rsidRPr="00BB7934">
        <w:rPr>
          <w:rFonts w:ascii="Albertus Extra Bold" w:hAnsi="Albertus Extra Bold"/>
          <w:b/>
        </w:rPr>
        <w:t>]</w:t>
      </w:r>
      <w:r>
        <w:t xml:space="preserve"> </w:t>
      </w:r>
      <w:r w:rsidRPr="00BB7934">
        <w:rPr>
          <w:u w:val="single"/>
        </w:rPr>
        <w:t>section 1 of P.L.1976, c.100 (C.2A:42-6.1) or section 1 of P.L.   , c.   (C.      ) (pending before the Legislature as this bill)</w:t>
      </w:r>
      <w:r w:rsidRPr="00BB7934">
        <w:t xml:space="preserve"> shall be a disorderly person.</w:t>
      </w:r>
    </w:p>
    <w:p w:rsidR="00D8299A" w:rsidRPr="00D368EE" w:rsidRDefault="00D8299A" w:rsidP="00D8299A">
      <w:pPr>
        <w:rPr>
          <w:rFonts w:ascii="Albertus Extra Bold" w:hAnsi="Albertus Extra Bold"/>
          <w:b/>
          <w:vertAlign w:val="superscript"/>
        </w:rPr>
      </w:pPr>
      <w:r>
        <w:t>(</w:t>
      </w:r>
      <w:proofErr w:type="spellStart"/>
      <w:r>
        <w:t>cf</w:t>
      </w:r>
      <w:proofErr w:type="spellEnd"/>
      <w:r>
        <w:t>: P.L.1976, c.100, s.2)</w:t>
      </w:r>
      <w:r w:rsidR="00D368EE" w:rsidRPr="00D368EE">
        <w:rPr>
          <w:rFonts w:ascii="Albertus Extra Bold" w:hAnsi="Albertus Extra Bold"/>
          <w:b/>
        </w:rPr>
        <w:t>]</w:t>
      </w:r>
      <w:r w:rsidR="00D368EE">
        <w:rPr>
          <w:rFonts w:ascii="Albertus Extra Bold" w:hAnsi="Albertus Extra Bold"/>
          <w:b/>
          <w:vertAlign w:val="superscript"/>
        </w:rPr>
        <w:t>1</w:t>
      </w:r>
    </w:p>
    <w:p w:rsidR="00D8299A" w:rsidRDefault="00D8299A" w:rsidP="00D8299A"/>
    <w:p w:rsidR="00D8299A" w:rsidRDefault="00D8299A" w:rsidP="00D8299A">
      <w:r>
        <w:tab/>
      </w:r>
      <w:r w:rsidR="003C3E8B">
        <w:rPr>
          <w:rFonts w:ascii="Albertus Extra Bold" w:hAnsi="Albertus Extra Bold"/>
          <w:b/>
          <w:vertAlign w:val="superscript"/>
        </w:rPr>
        <w:t>1</w:t>
      </w:r>
      <w:r w:rsidR="003C3E8B" w:rsidRPr="003C3E8B">
        <w:rPr>
          <w:rFonts w:ascii="Albertus Extra Bold" w:hAnsi="Albertus Extra Bold"/>
          <w:b/>
        </w:rPr>
        <w:t>[</w:t>
      </w:r>
      <w:r>
        <w:t>3.</w:t>
      </w:r>
      <w:r w:rsidR="003C3E8B" w:rsidRPr="003C3E8B">
        <w:rPr>
          <w:rFonts w:ascii="Albertus Extra Bold" w:hAnsi="Albertus Extra Bold"/>
          <w:b/>
        </w:rPr>
        <w:t>]</w:t>
      </w:r>
      <w:r w:rsidR="003C3E8B">
        <w:t xml:space="preserve"> </w:t>
      </w:r>
      <w:r w:rsidR="003C3E8B">
        <w:rPr>
          <w:u w:val="single"/>
        </w:rPr>
        <w:t>2.</w:t>
      </w:r>
      <w:r w:rsidR="003C3E8B">
        <w:rPr>
          <w:rFonts w:ascii="Albertus Extra Bold" w:hAnsi="Albertus Extra Bold"/>
          <w:b/>
          <w:vertAlign w:val="superscript"/>
        </w:rPr>
        <w:t>1</w:t>
      </w:r>
      <w:r>
        <w:tab/>
        <w:t>Section 3 of P.L.1976, c.100 (C.2A:42-6.3) is amended to read as follows:</w:t>
      </w:r>
    </w:p>
    <w:p w:rsidR="00D8299A" w:rsidRDefault="00D8299A" w:rsidP="00D8299A">
      <w:r>
        <w:tab/>
      </w:r>
      <w:r w:rsidRPr="00BB7934">
        <w:t>3.</w:t>
      </w:r>
      <w:r w:rsidRPr="00BB7934">
        <w:tab/>
        <w:t xml:space="preserve">The provisions of </w:t>
      </w:r>
      <w:r w:rsidRPr="00BB7934">
        <w:rPr>
          <w:rFonts w:ascii="Albertus Extra Bold" w:hAnsi="Albertus Extra Bold"/>
          <w:b/>
        </w:rPr>
        <w:t>[</w:t>
      </w:r>
      <w:r>
        <w:t>this act</w:t>
      </w:r>
      <w:r w:rsidRPr="00BB7934">
        <w:rPr>
          <w:rFonts w:ascii="Albertus Extra Bold" w:hAnsi="Albertus Extra Bold"/>
          <w:b/>
        </w:rPr>
        <w:t>]</w:t>
      </w:r>
      <w:r>
        <w:t xml:space="preserve"> </w:t>
      </w:r>
      <w:r w:rsidRPr="00BB7934">
        <w:rPr>
          <w:u w:val="single"/>
        </w:rPr>
        <w:t>section 1 of P.L.1976, c.100 (C.2A:42-6.1)</w:t>
      </w:r>
      <w:r w:rsidRPr="00BB7934">
        <w:t xml:space="preserve"> shall only be applicable to premises rented or leased by senior citizens receiving Social Security Old Age Pensions, Railroad Retirement Pensions or other governmental pensions in lieu of Social Security Old Age Pensions, and by recipients of Social Security Disability Benefits, Supplemental Security Income or benefits under Work First New Jersey.</w:t>
      </w:r>
    </w:p>
    <w:p w:rsidR="00D8299A" w:rsidRDefault="00D8299A" w:rsidP="00D8299A">
      <w:r>
        <w:t>(</w:t>
      </w:r>
      <w:proofErr w:type="spellStart"/>
      <w:r>
        <w:t>cf</w:t>
      </w:r>
      <w:proofErr w:type="spellEnd"/>
      <w:r>
        <w:t>: P.L.2001, c.142, s.2)</w:t>
      </w:r>
    </w:p>
    <w:p w:rsidR="00D8299A" w:rsidRDefault="00D8299A" w:rsidP="00D8299A"/>
    <w:p w:rsidR="00D8299A" w:rsidRPr="00AA7880" w:rsidRDefault="00D8299A" w:rsidP="00D8299A">
      <w:r>
        <w:tab/>
      </w:r>
      <w:r w:rsidR="003C3E8B">
        <w:rPr>
          <w:rFonts w:ascii="Albertus Extra Bold" w:hAnsi="Albertus Extra Bold"/>
          <w:b/>
          <w:vertAlign w:val="superscript"/>
        </w:rPr>
        <w:t>1</w:t>
      </w:r>
      <w:r w:rsidR="003C3E8B" w:rsidRPr="003C3E8B">
        <w:rPr>
          <w:rFonts w:ascii="Albertus Extra Bold" w:hAnsi="Albertus Extra Bold"/>
          <w:b/>
        </w:rPr>
        <w:t>[</w:t>
      </w:r>
      <w:r>
        <w:t>4.</w:t>
      </w:r>
      <w:r w:rsidR="003C3E8B" w:rsidRPr="003C3E8B">
        <w:rPr>
          <w:rFonts w:ascii="Albertus Extra Bold" w:hAnsi="Albertus Extra Bold"/>
          <w:b/>
        </w:rPr>
        <w:t>]</w:t>
      </w:r>
      <w:r w:rsidR="003C3E8B">
        <w:t xml:space="preserve"> </w:t>
      </w:r>
      <w:r w:rsidR="003C3E8B">
        <w:rPr>
          <w:u w:val="single"/>
        </w:rPr>
        <w:t>3.</w:t>
      </w:r>
      <w:r w:rsidR="003C3E8B">
        <w:rPr>
          <w:rFonts w:ascii="Albertus Extra Bold" w:hAnsi="Albertus Extra Bold"/>
          <w:b/>
          <w:vertAlign w:val="superscript"/>
        </w:rPr>
        <w:t>1</w:t>
      </w:r>
      <w:r>
        <w:tab/>
        <w:t>This act shall take effect immediately.</w:t>
      </w:r>
    </w:p>
    <w:sectPr w:rsidR="00D8299A" w:rsidRPr="00AA7880" w:rsidSect="004144FD">
      <w:headerReference w:type="default" r:id="rId14"/>
      <w:footerReference w:type="default" r:id="rId15"/>
      <w:headerReference w:type="first" r:id="rId16"/>
      <w:footerReference w:type="first" r:id="rId17"/>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412" w:rsidRDefault="00826412">
      <w:r>
        <w:separator/>
      </w:r>
    </w:p>
  </w:endnote>
  <w:endnote w:type="continuationSeparator" w:id="0">
    <w:p w:rsidR="00826412" w:rsidRDefault="00826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4D" w:rsidRDefault="00155A78" w:rsidP="00155A7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B54" w:rsidRPr="00921C91" w:rsidRDefault="009C6B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6B54" w:rsidRPr="00921C91" w:rsidRDefault="009C6B54">
    <w:pPr>
      <w:pStyle w:val="Footer"/>
      <w:rPr>
        <w:szCs w:val="18"/>
      </w:rPr>
    </w:pPr>
  </w:p>
  <w:p w:rsidR="009C6B54" w:rsidRPr="00921C91" w:rsidRDefault="009C6B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68EE" w:rsidRDefault="00D368EE">
    <w:pPr>
      <w:pStyle w:val="Footer"/>
    </w:pPr>
    <w:r>
      <w:tab/>
      <w:t>Matter enclosed in superscript numerals has been adopted as follows:</w:t>
    </w:r>
  </w:p>
  <w:p w:rsidR="00D368EE" w:rsidRDefault="00D368E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8, 2021.</w:t>
    </w:r>
  </w:p>
  <w:p w:rsidR="00D368EE" w:rsidRPr="00D368EE" w:rsidRDefault="00D368E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412" w:rsidRDefault="00826412">
      <w:r>
        <w:separator/>
      </w:r>
    </w:p>
  </w:footnote>
  <w:footnote w:type="continuationSeparator" w:id="0">
    <w:p w:rsidR="00826412" w:rsidRDefault="00826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70D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15B5" w:rsidRDefault="00A115B5" w:rsidP="00A115B5">
    <w:pPr>
      <w:pStyle w:val="bpuHeadSpon"/>
    </w:pPr>
    <w:r w:rsidRPr="00A115B5">
      <w:rPr>
        <w:rStyle w:val="bpuHeadSponChar"/>
      </w:rPr>
      <w:t>A1740</w:t>
    </w:r>
    <w:r>
      <w:t xml:space="preserve"> </w:t>
    </w:r>
    <w:r w:rsidR="00D368EE">
      <w:t xml:space="preserve">[1R] </w:t>
    </w:r>
    <w:r>
      <w:t>MCKNIGHT, CHAPARRO</w:t>
    </w:r>
  </w:p>
  <w:p w:rsidR="00A115B5" w:rsidRDefault="00A115B5" w:rsidP="00A115B5">
    <w:pPr>
      <w:pStyle w:val="bpuHeadSpon"/>
    </w:pPr>
    <w:r>
      <w:fldChar w:fldCharType="begin"/>
    </w:r>
    <w:r>
      <w:instrText xml:space="preserve"> PAGE  \* MERGEFORMAT </w:instrText>
    </w:r>
    <w:r>
      <w:fldChar w:fldCharType="separate"/>
    </w:r>
    <w:r w:rsidR="001C21B0">
      <w:rPr>
        <w:noProof/>
      </w:rPr>
      <w:t>3</w:t>
    </w:r>
    <w:r>
      <w:fldChar w:fldCharType="end"/>
    </w:r>
  </w:p>
  <w:p w:rsidR="00A115B5" w:rsidRPr="00AF575C" w:rsidRDefault="00A115B5" w:rsidP="00A115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15B5" w:rsidRDefault="00A115B5" w:rsidP="00A115B5">
    <w:pPr>
      <w:pStyle w:val="bpuHeadSpon"/>
    </w:pPr>
    <w:r w:rsidRPr="00A115B5">
      <w:rPr>
        <w:rStyle w:val="bpuHeadSponChar"/>
      </w:rPr>
      <w:t>A1740</w:t>
    </w:r>
    <w:r>
      <w:t xml:space="preserve"> </w:t>
    </w:r>
    <w:r w:rsidR="00D368EE">
      <w:t xml:space="preserve">[1R] </w:t>
    </w:r>
    <w:r>
      <w:t>MCKNIGHT, CHAPARRO</w:t>
    </w:r>
  </w:p>
  <w:p w:rsidR="00A115B5" w:rsidRDefault="00A115B5" w:rsidP="00A115B5">
    <w:pPr>
      <w:pStyle w:val="bpuHeadSpon"/>
    </w:pPr>
    <w:r>
      <w:fldChar w:fldCharType="begin"/>
    </w:r>
    <w:r>
      <w:instrText xml:space="preserve"> PAGE  \* MERGEFORMAT </w:instrText>
    </w:r>
    <w:r>
      <w:fldChar w:fldCharType="separate"/>
    </w:r>
    <w:r w:rsidR="001C21B0">
      <w:rPr>
        <w:noProof/>
      </w:rPr>
      <w:t>2</w:t>
    </w:r>
    <w:r>
      <w:fldChar w:fldCharType="end"/>
    </w:r>
  </w:p>
  <w:p w:rsidR="00A115B5" w:rsidRDefault="00A115B5" w:rsidP="00A115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412"/>
    <w:rsid w:val="00000169"/>
    <w:rsid w:val="0000419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85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78"/>
    <w:rsid w:val="00156AE5"/>
    <w:rsid w:val="001762FB"/>
    <w:rsid w:val="00182504"/>
    <w:rsid w:val="00186D54"/>
    <w:rsid w:val="00197DEE"/>
    <w:rsid w:val="001A253A"/>
    <w:rsid w:val="001A28C1"/>
    <w:rsid w:val="001A3589"/>
    <w:rsid w:val="001A55F1"/>
    <w:rsid w:val="001A66DB"/>
    <w:rsid w:val="001B3175"/>
    <w:rsid w:val="001B3F81"/>
    <w:rsid w:val="001B7150"/>
    <w:rsid w:val="001C21B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B4D"/>
    <w:rsid w:val="00333EF1"/>
    <w:rsid w:val="00346CF5"/>
    <w:rsid w:val="00352F8B"/>
    <w:rsid w:val="00354D07"/>
    <w:rsid w:val="0037458C"/>
    <w:rsid w:val="00381407"/>
    <w:rsid w:val="0038486B"/>
    <w:rsid w:val="00392612"/>
    <w:rsid w:val="003941E5"/>
    <w:rsid w:val="003A19B9"/>
    <w:rsid w:val="003A213D"/>
    <w:rsid w:val="003B7F50"/>
    <w:rsid w:val="003C32D1"/>
    <w:rsid w:val="003C3E8B"/>
    <w:rsid w:val="003C6FBF"/>
    <w:rsid w:val="003D2B0D"/>
    <w:rsid w:val="003D6256"/>
    <w:rsid w:val="003E3338"/>
    <w:rsid w:val="003E7B4E"/>
    <w:rsid w:val="003F145F"/>
    <w:rsid w:val="003F4A22"/>
    <w:rsid w:val="004040F9"/>
    <w:rsid w:val="00406A85"/>
    <w:rsid w:val="004144FD"/>
    <w:rsid w:val="0041453D"/>
    <w:rsid w:val="00420BF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0F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DCA"/>
    <w:rsid w:val="00752616"/>
    <w:rsid w:val="0075577B"/>
    <w:rsid w:val="00757B3B"/>
    <w:rsid w:val="00762366"/>
    <w:rsid w:val="007676EB"/>
    <w:rsid w:val="0076794B"/>
    <w:rsid w:val="00771F97"/>
    <w:rsid w:val="00772A40"/>
    <w:rsid w:val="0077700A"/>
    <w:rsid w:val="0079623B"/>
    <w:rsid w:val="007A0026"/>
    <w:rsid w:val="007B57C7"/>
    <w:rsid w:val="007C1354"/>
    <w:rsid w:val="007D0F64"/>
    <w:rsid w:val="007F02BF"/>
    <w:rsid w:val="007F2A14"/>
    <w:rsid w:val="0080085C"/>
    <w:rsid w:val="00802AF0"/>
    <w:rsid w:val="00806253"/>
    <w:rsid w:val="00820A1D"/>
    <w:rsid w:val="00826412"/>
    <w:rsid w:val="00841F07"/>
    <w:rsid w:val="008462AA"/>
    <w:rsid w:val="00846D3E"/>
    <w:rsid w:val="0084725C"/>
    <w:rsid w:val="008627AA"/>
    <w:rsid w:val="008628FF"/>
    <w:rsid w:val="00867FC7"/>
    <w:rsid w:val="00874609"/>
    <w:rsid w:val="0087660A"/>
    <w:rsid w:val="008823BC"/>
    <w:rsid w:val="008859B3"/>
    <w:rsid w:val="0088625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B54"/>
    <w:rsid w:val="009C76BC"/>
    <w:rsid w:val="009D5C82"/>
    <w:rsid w:val="009E1345"/>
    <w:rsid w:val="009E2D24"/>
    <w:rsid w:val="009F2BAB"/>
    <w:rsid w:val="00A003CF"/>
    <w:rsid w:val="00A01CC5"/>
    <w:rsid w:val="00A04BAB"/>
    <w:rsid w:val="00A072DB"/>
    <w:rsid w:val="00A115B5"/>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61A"/>
    <w:rsid w:val="00BB2482"/>
    <w:rsid w:val="00BC4545"/>
    <w:rsid w:val="00BD79EC"/>
    <w:rsid w:val="00BE204A"/>
    <w:rsid w:val="00BE26FC"/>
    <w:rsid w:val="00BF23C7"/>
    <w:rsid w:val="00BF7456"/>
    <w:rsid w:val="00C035F3"/>
    <w:rsid w:val="00C078A1"/>
    <w:rsid w:val="00C3401C"/>
    <w:rsid w:val="00C4369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B77"/>
    <w:rsid w:val="00D209A5"/>
    <w:rsid w:val="00D23780"/>
    <w:rsid w:val="00D31191"/>
    <w:rsid w:val="00D33F23"/>
    <w:rsid w:val="00D34C64"/>
    <w:rsid w:val="00D34D11"/>
    <w:rsid w:val="00D368EE"/>
    <w:rsid w:val="00D41401"/>
    <w:rsid w:val="00D57B94"/>
    <w:rsid w:val="00D6038F"/>
    <w:rsid w:val="00D66913"/>
    <w:rsid w:val="00D72DA0"/>
    <w:rsid w:val="00D776DB"/>
    <w:rsid w:val="00D77ACD"/>
    <w:rsid w:val="00D77E55"/>
    <w:rsid w:val="00D81BE1"/>
    <w:rsid w:val="00D8299A"/>
    <w:rsid w:val="00D82FE6"/>
    <w:rsid w:val="00D83515"/>
    <w:rsid w:val="00D84AE0"/>
    <w:rsid w:val="00D86B15"/>
    <w:rsid w:val="00D9742E"/>
    <w:rsid w:val="00D97D3E"/>
    <w:rsid w:val="00DA6AA9"/>
    <w:rsid w:val="00DB5B8E"/>
    <w:rsid w:val="00DC0E4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3B1"/>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B5030D-7A46-4A06-8F92-337D9FF7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08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085D"/>
    <w:rPr>
      <w:rFonts w:ascii="Segoe UI" w:hAnsi="Segoe UI" w:cs="Segoe UI"/>
      <w:spacing w:val="4"/>
      <w:sz w:val="18"/>
      <w:szCs w:val="18"/>
    </w:rPr>
  </w:style>
  <w:style w:type="character" w:styleId="LineNumber">
    <w:name w:val="line number"/>
    <w:basedOn w:val="DefaultParagraphFont"/>
    <w:semiHidden/>
    <w:unhideWhenUsed/>
    <w:rsid w:val="00A1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5DFD5-1F50-462D-B7F9-427DDF0B3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797</Words>
  <Characters>4203</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A1740</vt:lpstr>
    </vt:vector>
  </TitlesOfParts>
  <Manager>R225</Manager>
  <Company>OFFICE of LEGISLATIVE SERVICES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A1740 1R</dc:title>
  <dc:creator>Assemblywoman  MCKNIGHT, Assemblywoman  CHAPARRO</dc:creator>
  <cp:keywords>A1740|3|LG |264|320|264|!|0|</cp:keywords>
  <dc:description>PREFILED 2020_x000d_
Amended/TR 3/8/21</dc:description>
  <cp:lastModifiedBy>Todaro, Vivian</cp:lastModifiedBy>
  <cp:revision>2</cp:revision>
  <cp:lastPrinted>2021-12-06T18:55:00Z</cp:lastPrinted>
  <dcterms:created xsi:type="dcterms:W3CDTF">2021-12-06T18:55:00Z</dcterms:created>
  <dcterms:modified xsi:type="dcterms:W3CDTF">2021-12-06T18:55:00Z</dcterms:modified>
  <cp:category>s.1: C.2A:42-6.4; s.3 Eff. Date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