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2FF" w:rsidRDefault="007562FF" w:rsidP="007562FF">
      <w:pPr>
        <w:pStyle w:val="bpuBill"/>
      </w:pPr>
      <w:bookmarkStart w:id="0" w:name="bpuFrontPg"/>
      <w:bookmarkStart w:id="1" w:name="_GoBack"/>
      <w:bookmarkEnd w:id="0"/>
      <w:bookmarkEnd w:id="1"/>
      <w:r>
        <w:t xml:space="preserve">ASSEMBLY, No. 1808 </w:t>
      </w:r>
    </w:p>
    <w:p w:rsidR="007562FF" w:rsidRPr="007562FF" w:rsidRDefault="007562FF" w:rsidP="007562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54462" r:id="rId9"/>
        </w:object>
      </w:r>
    </w:p>
    <w:p w:rsidR="007562FF" w:rsidRDefault="007562FF" w:rsidP="007562FF">
      <w:pPr>
        <w:pStyle w:val="bpuState"/>
      </w:pPr>
      <w:r>
        <w:t>STATE OF NEW JERSEY</w:t>
      </w:r>
    </w:p>
    <w:p w:rsidR="007562FF" w:rsidRDefault="007562FF" w:rsidP="007562FF">
      <w:pPr>
        <w:pStyle w:val="bpuLegislature"/>
      </w:pPr>
      <w:r>
        <w:t>219th LEGISLATURE</w:t>
      </w:r>
    </w:p>
    <w:p w:rsidR="007562FF" w:rsidRDefault="007562FF" w:rsidP="007562FF">
      <w:pPr>
        <w:pStyle w:val="bpuWpGraphic"/>
      </w:pPr>
      <w:r>
        <w:object w:dxaOrig="8985" w:dyaOrig="255">
          <v:shape id="_x0000_i1026" type="#_x0000_t75" style="width:6in;height:12pt" o:ole="">
            <v:imagedata r:id="rId8" o:title=""/>
          </v:shape>
          <o:OLEObject Type="Embed" ProgID="WPWin6.1" ShapeID="_x0000_i1026" DrawAspect="Content" ObjectID="_1640254463" r:id="rId10"/>
        </w:object>
      </w:r>
      <w:r>
        <w:t xml:space="preserve">  </w:t>
      </w:r>
    </w:p>
    <w:p w:rsidR="007562FF" w:rsidRDefault="007562FF" w:rsidP="007562FF">
      <w:pPr>
        <w:pStyle w:val="bpuIntro"/>
      </w:pPr>
      <w:r>
        <w:t>PRE-FILED FOR INTRODUCTION IN THE 2020 SESSION</w:t>
      </w:r>
    </w:p>
    <w:p w:rsidR="007562FF" w:rsidRDefault="007562FF" w:rsidP="007562FF">
      <w:pPr>
        <w:pStyle w:val="bpuIntro"/>
      </w:pPr>
    </w:p>
    <w:p w:rsidR="007562FF" w:rsidRDefault="007562FF" w:rsidP="007562FF">
      <w:pPr>
        <w:pStyle w:val="bpuIntro"/>
        <w:sectPr w:rsidR="007562FF" w:rsidSect="007562FF">
          <w:headerReference w:type="even" r:id="rId11"/>
          <w:headerReference w:type="default" r:id="rId12"/>
          <w:pgSz w:w="12240" w:h="20160" w:code="5"/>
          <w:pgMar w:top="2160" w:right="1440" w:bottom="1440" w:left="1440" w:header="720" w:footer="720" w:gutter="0"/>
          <w:pgNumType w:start="1"/>
          <w:cols w:space="720"/>
          <w:docGrid w:linePitch="360"/>
        </w:sectPr>
      </w:pPr>
    </w:p>
    <w:p w:rsidR="007562FF" w:rsidRDefault="007562FF" w:rsidP="007562FF">
      <w:pPr>
        <w:pStyle w:val="bpuIntro"/>
      </w:pPr>
    </w:p>
    <w:p w:rsidR="007562FF" w:rsidRDefault="007562FF" w:rsidP="007562FF">
      <w:pPr>
        <w:pStyle w:val="bpuSponsor"/>
      </w:pPr>
      <w:r>
        <w:t>Sponsored by:</w:t>
      </w:r>
    </w:p>
    <w:p w:rsidR="007562FF" w:rsidRDefault="007562FF" w:rsidP="007562FF">
      <w:pPr>
        <w:pStyle w:val="bpuSponsor"/>
      </w:pPr>
      <w:r>
        <w:t>Assemblyman  ERIK PETERSON</w:t>
      </w:r>
    </w:p>
    <w:p w:rsidR="007562FF" w:rsidRDefault="007562FF" w:rsidP="007562FF">
      <w:pPr>
        <w:pStyle w:val="bpuSponsor"/>
      </w:pPr>
      <w:r>
        <w:t>District 23 (Hunterdon, Somerset and Warren)</w:t>
      </w:r>
    </w:p>
    <w:p w:rsidR="007562FF" w:rsidRDefault="007562FF" w:rsidP="007562FF">
      <w:pPr>
        <w:pStyle w:val="bpuSponsor"/>
      </w:pPr>
    </w:p>
    <w:p w:rsidR="007562FF" w:rsidRDefault="007562FF" w:rsidP="007562FF">
      <w:pPr>
        <w:pStyle w:val="bpuSponsor"/>
      </w:pPr>
      <w:r>
        <w:t>Co-Sponsored by:</w:t>
      </w:r>
    </w:p>
    <w:p w:rsidR="007562FF" w:rsidRDefault="007562FF" w:rsidP="007562FF">
      <w:pPr>
        <w:pStyle w:val="bpuSponsor"/>
      </w:pPr>
      <w:r w:rsidRPr="007562FF">
        <w:t>Assemblyman McGuckin</w:t>
      </w:r>
    </w:p>
    <w:p w:rsidR="007562FF" w:rsidRDefault="007562FF" w:rsidP="007562FF"/>
    <w:p w:rsidR="007562FF" w:rsidRPr="007562FF" w:rsidRDefault="007562FF" w:rsidP="007562FF"/>
    <w:p w:rsidR="007562FF" w:rsidRDefault="007562FF" w:rsidP="007562FF">
      <w:pPr>
        <w:pStyle w:val="bpuSponsor"/>
      </w:pPr>
    </w:p>
    <w:p w:rsidR="007562FF" w:rsidRDefault="007562FF" w:rsidP="007562FF">
      <w:pPr>
        <w:pStyle w:val="bpuSponsor"/>
      </w:pPr>
    </w:p>
    <w:p w:rsidR="007562FF" w:rsidRDefault="007562FF" w:rsidP="007562FF">
      <w:pPr>
        <w:pStyle w:val="bpuSponsor"/>
      </w:pPr>
      <w:r>
        <w:t>SYNOPSIS</w:t>
      </w:r>
    </w:p>
    <w:p w:rsidR="007562FF" w:rsidRDefault="007562FF" w:rsidP="007562FF">
      <w:pPr>
        <w:pStyle w:val="bpuNormText"/>
      </w:pPr>
      <w:r>
        <w:tab/>
        <w:t xml:space="preserve">Provides for an additional aggravating factor in sentencing a person who has committed an act of domestic violence against certain minors. </w:t>
      </w:r>
    </w:p>
    <w:p w:rsidR="007562FF" w:rsidRDefault="007562FF" w:rsidP="007562FF">
      <w:pPr>
        <w:pStyle w:val="bpuNormText"/>
      </w:pPr>
    </w:p>
    <w:p w:rsidR="007562FF" w:rsidRDefault="007562FF" w:rsidP="007562FF">
      <w:pPr>
        <w:pStyle w:val="bpuSponsor"/>
      </w:pPr>
      <w:r>
        <w:t xml:space="preserve">CURRENT VERSION OF TEXT </w:t>
      </w:r>
    </w:p>
    <w:p w:rsidR="007562FF" w:rsidRDefault="007562FF" w:rsidP="007562FF">
      <w:pPr>
        <w:pStyle w:val="bpuNormText"/>
      </w:pPr>
      <w:r>
        <w:tab/>
        <w:t>Introduced Pending Technical Review by Legislative Counsel.</w:t>
      </w:r>
    </w:p>
    <w:p w:rsidR="007562FF" w:rsidRDefault="007562FF" w:rsidP="007562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62FF" w:rsidRDefault="007562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62FF" w:rsidSect="007562FF">
          <w:type w:val="continuous"/>
          <w:pgSz w:w="12240" w:h="20160" w:code="5"/>
          <w:pgMar w:top="2160" w:right="2275" w:bottom="1440" w:left="2275" w:header="72" w:footer="720" w:gutter="0"/>
          <w:pgNumType w:start="1"/>
          <w:cols w:space="720"/>
          <w:docGrid w:linePitch="360"/>
        </w:sectPr>
      </w:pPr>
    </w:p>
    <w:p w:rsidR="00EA4254" w:rsidRPr="00677316" w:rsidRDefault="00EA4254" w:rsidP="00EA4254">
      <w:pPr>
        <w:pStyle w:val="HangingAnAct"/>
        <w:rPr>
          <w:rStyle w:val="HangingAnActChar"/>
        </w:rPr>
      </w:pPr>
      <w:r w:rsidRPr="00EA4254">
        <w:rPr>
          <w:rStyle w:val="BillHead"/>
        </w:rPr>
        <w:lastRenderedPageBreak/>
        <w:t>An Act</w:t>
      </w:r>
      <w:r w:rsidRPr="006B7FA7">
        <w:rPr>
          <w:rStyle w:val="HangingAnActChar"/>
        </w:rPr>
        <w:t xml:space="preserve"> </w:t>
      </w:r>
      <w:r>
        <w:rPr>
          <w:rStyle w:val="HangingAnActChar"/>
        </w:rPr>
        <w:t>concerning certain domestic violence victims and amending N.J.S.2C:44-1.</w:t>
      </w:r>
    </w:p>
    <w:p w:rsidR="00EA4254" w:rsidRPr="00D71D68" w:rsidRDefault="00EA4254" w:rsidP="00EA4254"/>
    <w:p w:rsidR="00EA4254" w:rsidRPr="00AA7880" w:rsidRDefault="00EA4254" w:rsidP="00EA4254">
      <w:r>
        <w:tab/>
      </w:r>
      <w:r>
        <w:rPr>
          <w:rStyle w:val="BillHeading2"/>
        </w:rPr>
        <w:t xml:space="preserve">Be It Enacted </w:t>
      </w:r>
      <w:r>
        <w:rPr>
          <w:rStyle w:val="BillLanguage"/>
        </w:rPr>
        <w:t>by the Senate and General Assembly of the State of New Jersey:</w:t>
      </w:r>
    </w:p>
    <w:p w:rsidR="00EA4254" w:rsidRDefault="00EA4254" w:rsidP="00EA4254"/>
    <w:p w:rsidR="00EA4254" w:rsidRDefault="00DE0FD2" w:rsidP="00DE0FD2">
      <w:r>
        <w:tab/>
        <w:t>1.</w:t>
      </w:r>
      <w:r>
        <w:tab/>
      </w:r>
      <w:r w:rsidR="00EA4254">
        <w:t>N.J.S.2C:44-1 is amended to read as follows:</w:t>
      </w:r>
    </w:p>
    <w:p w:rsidR="00EA4254" w:rsidRDefault="00EA4254" w:rsidP="00EA4254">
      <w:r>
        <w:tab/>
        <w:t>2C:44-1.</w:t>
      </w:r>
      <w:r>
        <w:tab/>
        <w:t>a. In determining the appropriate sentence to be imposed on a person who has been convicted of an offense, the court shall consider the following aggravating circumstances:</w:t>
      </w:r>
    </w:p>
    <w:p w:rsidR="00EA4254" w:rsidRDefault="00EA4254" w:rsidP="00EA4254">
      <w:r>
        <w:tab/>
        <w:t>(1)</w:t>
      </w:r>
      <w:r>
        <w:tab/>
        <w:t>The nature and circumstances of the offense, and the role of the actor therein, including whether or not it was committed in an especially heinous, cruel, or depraved manner;</w:t>
      </w:r>
    </w:p>
    <w:p w:rsidR="00EA4254" w:rsidRDefault="00EA4254" w:rsidP="00EA4254">
      <w:r>
        <w:tab/>
        <w:t>(2)</w:t>
      </w:r>
      <w:r>
        <w:tab/>
        <w:t>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w:t>
      </w:r>
    </w:p>
    <w:p w:rsidR="00EA4254" w:rsidRDefault="00EA4254" w:rsidP="00EA4254">
      <w:r>
        <w:tab/>
        <w:t>(3)</w:t>
      </w:r>
      <w:r>
        <w:tab/>
        <w:t>The risk that the defendant will commit another offense;</w:t>
      </w:r>
    </w:p>
    <w:p w:rsidR="00EA4254" w:rsidRDefault="00EA4254" w:rsidP="00EA4254">
      <w:r>
        <w:tab/>
        <w:t>(4)</w:t>
      </w:r>
      <w:r>
        <w:tab/>
        <w:t>A lesser sentence will depreciate the seriousness of the defendant's offense because it involved a breach of the public trust under chapters 27 and 30, or the defendant took advantage of a position of trust or confidence to commit the offense;</w:t>
      </w:r>
    </w:p>
    <w:p w:rsidR="00EA4254" w:rsidRDefault="00EA4254" w:rsidP="00EA4254">
      <w:r>
        <w:tab/>
        <w:t>(5)</w:t>
      </w:r>
      <w:r>
        <w:tab/>
        <w:t>There is a substantial likelihood that the defendant is involved in organized criminal activity;</w:t>
      </w:r>
    </w:p>
    <w:p w:rsidR="00EA4254" w:rsidRDefault="00EA4254" w:rsidP="00EA4254">
      <w:r>
        <w:tab/>
        <w:t>(6)</w:t>
      </w:r>
      <w:r>
        <w:tab/>
        <w:t>The extent of the defendant's prior criminal record and the seriousness of the offenses of which he has been convicted;</w:t>
      </w:r>
    </w:p>
    <w:p w:rsidR="00EA4254" w:rsidRDefault="00EA4254" w:rsidP="00EA4254">
      <w:r>
        <w:tab/>
        <w:t>(7)</w:t>
      </w:r>
      <w:r>
        <w:tab/>
        <w:t>The defendant committed the offense pursuant to an agreement that he either pay or be paid for the commission of the offense and the pecuniary incentive was beyond that inherent in the offense itself;</w:t>
      </w:r>
    </w:p>
    <w:p w:rsidR="00EA4254" w:rsidRDefault="00EA4254" w:rsidP="00EA4254">
      <w:r>
        <w:tab/>
        <w:t>(8)</w:t>
      </w:r>
      <w:r>
        <w:tab/>
        <w:t>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w:t>
      </w:r>
    </w:p>
    <w:p w:rsidR="00EA4254" w:rsidRDefault="00EA4254" w:rsidP="00EA4254">
      <w:r>
        <w:tab/>
        <w:t>(9)</w:t>
      </w:r>
      <w:r>
        <w:tab/>
        <w:t xml:space="preserve">The need for deterring the defendant and others from violating the law; </w:t>
      </w:r>
    </w:p>
    <w:p w:rsidR="00EA4254" w:rsidRDefault="00EA4254" w:rsidP="00EA4254">
      <w:r>
        <w:tab/>
        <w:t>(10) The offense involved fraudulent or deceptive practices committed against any department or division of State government;</w:t>
      </w:r>
    </w:p>
    <w:p w:rsidR="00EA4254" w:rsidRDefault="00EA4254" w:rsidP="00EA4254">
      <w:r>
        <w:tab/>
        <w:t>(11)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w:t>
      </w:r>
    </w:p>
    <w:p w:rsidR="00EA4254" w:rsidRDefault="00EA4254" w:rsidP="00EA4254">
      <w:r>
        <w:tab/>
        <w:t>(12) The defendant committed the offense against a person who he knew or should have known was 60 years of age or older, or disabled;</w:t>
      </w:r>
    </w:p>
    <w:p w:rsidR="00EA4254" w:rsidRDefault="00EA4254" w:rsidP="00EA4254">
      <w:r>
        <w:tab/>
        <w:t>(13) The defendant, while in the course of committing or attempting to commit the crime, including the immediate flight therefrom, used or was in possession of a stolen motor vehicle;</w:t>
      </w:r>
    </w:p>
    <w:p w:rsidR="00EA4254" w:rsidRDefault="00EA4254" w:rsidP="00EA4254">
      <w:r>
        <w:tab/>
        <w:t xml:space="preserve">(14) The offense involved an act of domestic violence, as that term is defined in subsection a. of section 3 of P.L.1991, c. 261 (C.2C:25-19), committed in the presence of a child under 16 years of age; </w:t>
      </w:r>
      <w:r w:rsidRPr="0060686D">
        <w:rPr>
          <w:rFonts w:ascii="Albertus Extra Bold" w:hAnsi="Albertus Extra Bold"/>
          <w:b/>
        </w:rPr>
        <w:t>[</w:t>
      </w:r>
      <w:r>
        <w:t>and</w:t>
      </w:r>
      <w:r w:rsidRPr="0060686D">
        <w:rPr>
          <w:rFonts w:ascii="Albertus Extra Bold" w:hAnsi="Albertus Extra Bold"/>
          <w:b/>
        </w:rPr>
        <w:t>]</w:t>
      </w:r>
    </w:p>
    <w:p w:rsidR="00EA4254" w:rsidRPr="00163386" w:rsidRDefault="00EA4254" w:rsidP="00EA4254">
      <w:pPr>
        <w:rPr>
          <w:u w:val="single"/>
        </w:rPr>
      </w:pPr>
      <w:r>
        <w:tab/>
        <w:t>(15) The offense involved an act of domestic violence, as that term is defined in subsection a. of section 3 of P.L.1991, c. 261 (C.2C:25-19) and the defendant committed at least one act of domestic violence on more than one occasion</w:t>
      </w:r>
      <w:r w:rsidRPr="00163386">
        <w:rPr>
          <w:u w:val="single"/>
        </w:rPr>
        <w:t>; and</w:t>
      </w:r>
    </w:p>
    <w:p w:rsidR="00EA4254" w:rsidRDefault="00EA4254" w:rsidP="00EA4254">
      <w:r w:rsidRPr="00163386">
        <w:tab/>
      </w:r>
      <w:r w:rsidRPr="00163386">
        <w:rPr>
          <w:u w:val="single"/>
        </w:rPr>
        <w:t xml:space="preserve">(16) </w:t>
      </w:r>
      <w:r>
        <w:rPr>
          <w:u w:val="single"/>
        </w:rPr>
        <w:t xml:space="preserve">The offense involved an act of domestic violence, </w:t>
      </w:r>
      <w:r w:rsidRPr="00163386">
        <w:rPr>
          <w:u w:val="single"/>
        </w:rPr>
        <w:t>as that term is defined in subsection a. of section 3 of P.L.1991, c. 261 (C.2C:25-19), committed</w:t>
      </w:r>
      <w:r>
        <w:rPr>
          <w:u w:val="single"/>
        </w:rPr>
        <w:t xml:space="preserve"> against a minor who is a victim of domestic violence as defined in subsections d. and e. of section 3 of P.L.1991, c. 261 (C.2C:25-19)</w:t>
      </w:r>
      <w:r>
        <w:t>.</w:t>
      </w:r>
    </w:p>
    <w:p w:rsidR="00EA4254" w:rsidRDefault="00EA4254" w:rsidP="00EA4254">
      <w:r>
        <w:tab/>
        <w:t>b.</w:t>
      </w:r>
      <w:r>
        <w:tab/>
        <w:t>In determining the appropriate sentence to be imposed on a person who has been convicted of an offense, the court may properly consider the following mitigating circumstances:</w:t>
      </w:r>
    </w:p>
    <w:p w:rsidR="00EA4254" w:rsidRDefault="00EA4254" w:rsidP="00EA4254">
      <w:r>
        <w:tab/>
        <w:t>(1)</w:t>
      </w:r>
      <w:r>
        <w:tab/>
        <w:t>The defendant's conduct neither caused nor threatened serious harm;</w:t>
      </w:r>
    </w:p>
    <w:p w:rsidR="00EA4254" w:rsidRDefault="00EA4254" w:rsidP="00EA4254">
      <w:r>
        <w:tab/>
        <w:t>(2)</w:t>
      </w:r>
      <w:r>
        <w:tab/>
        <w:t>The defendant did not contemplate that his conduct would cause or threaten serious harm;</w:t>
      </w:r>
    </w:p>
    <w:p w:rsidR="00EA4254" w:rsidRDefault="00EA4254" w:rsidP="00EA4254">
      <w:r>
        <w:tab/>
        <w:t>(3)</w:t>
      </w:r>
      <w:r>
        <w:tab/>
        <w:t>The defendant acted under a strong provocation;</w:t>
      </w:r>
    </w:p>
    <w:p w:rsidR="00EA4254" w:rsidRDefault="00EA4254" w:rsidP="00EA4254">
      <w:r>
        <w:tab/>
        <w:t>(4)</w:t>
      </w:r>
      <w:r>
        <w:tab/>
        <w:t>There were substantial grounds tending to excuse or justify the defendant's conduct, though failing to establish a defense;</w:t>
      </w:r>
    </w:p>
    <w:p w:rsidR="00EA4254" w:rsidRDefault="00EA4254" w:rsidP="00EA4254">
      <w:r>
        <w:tab/>
        <w:t>(5)</w:t>
      </w:r>
      <w:r>
        <w:tab/>
        <w:t>The victim of the defendant's conduct induced or facilitated its commission;</w:t>
      </w:r>
    </w:p>
    <w:p w:rsidR="00EA4254" w:rsidRDefault="00EA4254" w:rsidP="00EA4254">
      <w:r>
        <w:tab/>
        <w:t>(6)</w:t>
      </w:r>
      <w:r>
        <w:tab/>
        <w:t>The defendant has compensated or will compensate the victim of his conduct for the damage or injury that he sustained, or will participate in a program of community service;</w:t>
      </w:r>
    </w:p>
    <w:p w:rsidR="00EA4254" w:rsidRDefault="00EA4254" w:rsidP="00EA4254">
      <w:r>
        <w:tab/>
        <w:t>(7)</w:t>
      </w:r>
      <w:r>
        <w:tab/>
        <w:t>The defendant has no history of prior delinquency or criminal activity or has led a law-abiding life for a substantial period of time before the commission of the present offense;</w:t>
      </w:r>
    </w:p>
    <w:p w:rsidR="00EA4254" w:rsidRDefault="00EA4254" w:rsidP="00EA4254">
      <w:r>
        <w:tab/>
        <w:t>(8)</w:t>
      </w:r>
      <w:r>
        <w:tab/>
        <w:t>The defendant's conduct was the result of circumstances unlikely to recur;</w:t>
      </w:r>
    </w:p>
    <w:p w:rsidR="00EA4254" w:rsidRDefault="00EA4254" w:rsidP="00EA4254">
      <w:r>
        <w:tab/>
        <w:t>(9)</w:t>
      </w:r>
      <w:r>
        <w:tab/>
        <w:t>The character and attitude of the defendant indicate that he is unlikely to commit another offense;</w:t>
      </w:r>
    </w:p>
    <w:p w:rsidR="00EA4254" w:rsidRDefault="00EA4254" w:rsidP="00EA4254">
      <w:r>
        <w:tab/>
        <w:t>(10) The defendant is particularly likely to respond affirmatively to probationary treatment;</w:t>
      </w:r>
    </w:p>
    <w:p w:rsidR="00EA4254" w:rsidRDefault="00EA4254" w:rsidP="00EA4254">
      <w:r>
        <w:tab/>
        <w:t>(11) The imprisonment of the defendant would entail excessive hardship to himself or his dependents;</w:t>
      </w:r>
    </w:p>
    <w:p w:rsidR="00EA4254" w:rsidRDefault="00EA4254" w:rsidP="00EA4254">
      <w:r>
        <w:tab/>
        <w:t>(12) The willingness of the defendant to cooperate with law enforcement authorities;</w:t>
      </w:r>
    </w:p>
    <w:p w:rsidR="00EA4254" w:rsidRDefault="00EA4254" w:rsidP="00EA4254">
      <w:r>
        <w:tab/>
        <w:t>(13) The conduct of a youthful defendant was substantially influenced by another person more mature than the defendant.</w:t>
      </w:r>
    </w:p>
    <w:p w:rsidR="00EA4254" w:rsidRDefault="00EA4254" w:rsidP="00EA4254">
      <w:r>
        <w:tab/>
        <w:t>c.</w:t>
      </w:r>
      <w:r>
        <w:tab/>
        <w:t>(1) A plea of guilty by a defendant or failure to so plead shall not be considered in withholding or imposing a sentence of imprisonment.</w:t>
      </w:r>
    </w:p>
    <w:p w:rsidR="00EA4254" w:rsidRDefault="00EA4254" w:rsidP="00EA4254">
      <w:r>
        <w:tab/>
        <w:t>(2)</w:t>
      </w:r>
      <w:r>
        <w:tab/>
        <w:t>When imposing a sentence of imprisonment the court shall consider the defendant's eligibility for release under the law governing parole, including time credits awarded pursuant to Title 30 of the Revised Statutes, in determining the appropriate term of imprisonment.</w:t>
      </w:r>
    </w:p>
    <w:p w:rsidR="00EA4254" w:rsidRDefault="00EA4254" w:rsidP="00EA4254">
      <w:r>
        <w:tab/>
        <w:t>d.</w:t>
      </w:r>
      <w:r>
        <w:tab/>
        <w:t>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w:t>
      </w:r>
    </w:p>
    <w:p w:rsidR="00EA4254" w:rsidRDefault="00EA4254" w:rsidP="00EA4254">
      <w:r>
        <w:tab/>
        <w:t>e.</w:t>
      </w:r>
      <w:r>
        <w:tab/>
        <w:t>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w:t>
      </w:r>
    </w:p>
    <w:p w:rsidR="00EA4254" w:rsidRDefault="00EA4254" w:rsidP="00EA4254">
      <w:r>
        <w:tab/>
        <w:t>f.</w:t>
      </w:r>
      <w:r>
        <w:tab/>
        <w:t>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w:t>
      </w:r>
    </w:p>
    <w:p w:rsidR="00EA4254" w:rsidRDefault="00EA4254" w:rsidP="00EA4254">
      <w:r>
        <w:tab/>
        <w:t>(a)</w:t>
      </w:r>
      <w:r>
        <w:tab/>
        <w:t>To a term of 20 years for aggravated manslaughter or kidnapping pursuant to paragraph (1) of subsection c. of N.J.S.2C:13-1 when the offense constitutes a crime of the first degree;</w:t>
      </w:r>
    </w:p>
    <w:p w:rsidR="00EA4254" w:rsidRDefault="00EA4254" w:rsidP="00EA4254">
      <w:r>
        <w:tab/>
        <w:t>(b)</w:t>
      </w:r>
      <w:r>
        <w:tab/>
        <w:t>Except as provided in subparagraph (a) of this paragraph to a term of 15 years for a crime of the first degree;</w:t>
      </w:r>
    </w:p>
    <w:p w:rsidR="00EA4254" w:rsidRDefault="00EA4254" w:rsidP="00EA4254">
      <w:r>
        <w:tab/>
        <w:t>(c)</w:t>
      </w:r>
      <w:r>
        <w:tab/>
        <w:t>To a term of seven years for a crime of the second degree;</w:t>
      </w:r>
    </w:p>
    <w:p w:rsidR="00EA4254" w:rsidRDefault="00EA4254" w:rsidP="00EA4254">
      <w:r>
        <w:tab/>
        <w:t>(d)</w:t>
      </w:r>
      <w:r>
        <w:tab/>
        <w:t>To a term of four years for a crime of the third degree; and</w:t>
      </w:r>
    </w:p>
    <w:p w:rsidR="00EA4254" w:rsidRDefault="00EA4254" w:rsidP="00EA4254">
      <w:r>
        <w:tab/>
        <w:t>(e)</w:t>
      </w:r>
      <w:r>
        <w:tab/>
        <w:t>To a term of nine months for a crime of the fourth degree.</w:t>
      </w:r>
    </w:p>
    <w:p w:rsidR="00EA4254" w:rsidRDefault="00EA4254" w:rsidP="00EA4254">
      <w:r>
        <w:tab/>
        <w:t>In imposing a minimum term pursuant to subsection b. of N.J.S.2C:43-6, the sentencing court shall specifically place on the record the aggravating factors set forth in this section which justify the imposition of a minimum term.</w:t>
      </w:r>
    </w:p>
    <w:p w:rsidR="00EA4254" w:rsidRDefault="00EA4254" w:rsidP="00EA4254">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EA4254" w:rsidRDefault="00EA4254" w:rsidP="00EA4254">
      <w:r>
        <w:tab/>
        <w:t>In imposing a minimum term pursuant to subsection b. of N.J.S.2C:43-7, the sentencing court shall specifically place on the record the aggravating factors set forth in this section which justify the imposition of a minimum term.</w:t>
      </w:r>
    </w:p>
    <w:p w:rsidR="00EA4254" w:rsidRDefault="00EA4254" w:rsidP="00EA4254">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EA4254" w:rsidRDefault="00EA4254" w:rsidP="00EA4254">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EA4254" w:rsidRDefault="00EA4254" w:rsidP="00EA4254">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EA4254" w:rsidRDefault="00EA4254" w:rsidP="00EA4254">
      <w:r>
        <w:t>(cf: P.L.2015, c.98, s.5)</w:t>
      </w:r>
    </w:p>
    <w:p w:rsidR="00EA4254" w:rsidRDefault="00EA4254" w:rsidP="00EA4254"/>
    <w:p w:rsidR="00EA4254" w:rsidRPr="00AA7880" w:rsidRDefault="00EA4254" w:rsidP="00EA4254">
      <w:r>
        <w:tab/>
        <w:t>2.</w:t>
      </w:r>
      <w:r>
        <w:tab/>
        <w:t>This act shall take effect immediately.</w:t>
      </w:r>
    </w:p>
    <w:p w:rsidR="00EA4254" w:rsidRDefault="00EA4254" w:rsidP="00EA4254"/>
    <w:p w:rsidR="00EA4254" w:rsidRPr="00CE7BD8" w:rsidRDefault="00EA4254" w:rsidP="00EA4254"/>
    <w:p w:rsidR="00EA4254" w:rsidRPr="00AA7880" w:rsidRDefault="00EA4254" w:rsidP="00EA4254">
      <w:pPr>
        <w:jc w:val="center"/>
      </w:pPr>
      <w:r w:rsidRPr="00D71D68">
        <w:t>STATEMENT</w:t>
      </w:r>
    </w:p>
    <w:p w:rsidR="00EA4254" w:rsidRDefault="00EA4254" w:rsidP="00EA4254"/>
    <w:p w:rsidR="00EA4254" w:rsidRDefault="00EA4254" w:rsidP="00EA4254">
      <w:r>
        <w:tab/>
        <w:t>This b</w:t>
      </w:r>
      <w:r w:rsidRPr="00B4237A">
        <w:t xml:space="preserve">ill </w:t>
      </w:r>
      <w:r>
        <w:t xml:space="preserve">would amend N.J.S.2C:44-1 to </w:t>
      </w:r>
      <w:r w:rsidRPr="00B4237A">
        <w:t xml:space="preserve">add </w:t>
      </w:r>
      <w:r>
        <w:t xml:space="preserve">an </w:t>
      </w:r>
      <w:r w:rsidRPr="00B4237A">
        <w:t>aggravating facto</w:t>
      </w:r>
      <w:r>
        <w:t xml:space="preserve">r for courts to consider when sentencing an individual who has committed a domestic violence offense against a minor. </w:t>
      </w:r>
      <w:r w:rsidRPr="00B4237A">
        <w:t xml:space="preserve"> </w:t>
      </w:r>
    </w:p>
    <w:p w:rsidR="00EA4254" w:rsidRDefault="00EA4254" w:rsidP="00EA4254">
      <w:r>
        <w:tab/>
      </w:r>
      <w:r w:rsidRPr="00B4237A">
        <w:t xml:space="preserve">Under the bill, it </w:t>
      </w:r>
      <w:r>
        <w:t xml:space="preserve">would </w:t>
      </w:r>
      <w:r w:rsidRPr="00B4237A">
        <w:t xml:space="preserve">be an aggravating factor if the offense involved an act of domestic violence committed against a </w:t>
      </w:r>
      <w:r>
        <w:t xml:space="preserve">minor who was a domestic violence victim pursuant to N.J.S.2C:25-19.  Those victims would include minors in a dating relationship or emancipated minors.  An emancipated minor includes </w:t>
      </w:r>
      <w:r w:rsidRPr="00362048">
        <w:t>a person who is under 18 years of age but who has been married, has entered military service, has a child or is pregnant or has been previously declared by a court or an administrative agency to be emancipated.</w:t>
      </w:r>
      <w:r>
        <w:t xml:space="preserve"> </w:t>
      </w:r>
    </w:p>
    <w:sectPr w:rsidR="00EA4254" w:rsidSect="007562F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911" w:rsidRDefault="00CF5911">
      <w:r>
        <w:separator/>
      </w:r>
    </w:p>
  </w:endnote>
  <w:endnote w:type="continuationSeparator" w:id="0">
    <w:p w:rsidR="00CF5911" w:rsidRDefault="00CF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FAA" w:rsidRPr="00921C91" w:rsidRDefault="00180F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FAA" w:rsidRPr="00921C91" w:rsidRDefault="00180FAA">
    <w:pPr>
      <w:pStyle w:val="Footer"/>
      <w:rPr>
        <w:szCs w:val="18"/>
      </w:rPr>
    </w:pPr>
  </w:p>
  <w:p w:rsidR="00180FAA" w:rsidRPr="00921C91" w:rsidRDefault="00180F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0FAA" w:rsidRDefault="00180FA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911" w:rsidRDefault="00CF5911">
      <w:r>
        <w:separator/>
      </w:r>
    </w:p>
  </w:footnote>
  <w:footnote w:type="continuationSeparator" w:id="0">
    <w:p w:rsidR="00CF5911" w:rsidRDefault="00CF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51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62FF" w:rsidRDefault="007562FF" w:rsidP="007562FF">
    <w:pPr>
      <w:pStyle w:val="bpuHeadSpon"/>
    </w:pPr>
    <w:r w:rsidRPr="007562FF">
      <w:rPr>
        <w:rStyle w:val="bpuHeadSponChar"/>
      </w:rPr>
      <w:t>A1808</w:t>
    </w:r>
    <w:r>
      <w:t xml:space="preserve"> PETERSON</w:t>
    </w:r>
  </w:p>
  <w:p w:rsidR="007562FF" w:rsidRDefault="007562FF" w:rsidP="007562FF">
    <w:pPr>
      <w:pStyle w:val="bpuHeadSpon"/>
    </w:pPr>
    <w:r>
      <w:fldChar w:fldCharType="begin"/>
    </w:r>
    <w:r>
      <w:instrText xml:space="preserve"> PAGE  \* MERGEFORMAT </w:instrText>
    </w:r>
    <w:r>
      <w:fldChar w:fldCharType="separate"/>
    </w:r>
    <w:r w:rsidR="006C514C">
      <w:rPr>
        <w:noProof/>
      </w:rPr>
      <w:t>6</w:t>
    </w:r>
    <w:r>
      <w:fldChar w:fldCharType="end"/>
    </w:r>
  </w:p>
  <w:p w:rsidR="007562FF" w:rsidRPr="00AF575C" w:rsidRDefault="007562FF" w:rsidP="007562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62FF" w:rsidRDefault="007562FF" w:rsidP="007562FF">
    <w:pPr>
      <w:pStyle w:val="bpuHeadSpon"/>
    </w:pPr>
    <w:r w:rsidRPr="007562FF">
      <w:rPr>
        <w:rStyle w:val="bpuHeadSponChar"/>
      </w:rPr>
      <w:t>A1808</w:t>
    </w:r>
    <w:r>
      <w:t xml:space="preserve"> PETERSON</w:t>
    </w:r>
  </w:p>
  <w:p w:rsidR="007562FF" w:rsidRDefault="007562FF" w:rsidP="007562FF">
    <w:pPr>
      <w:pStyle w:val="bpuHeadSpon"/>
    </w:pPr>
    <w:r>
      <w:fldChar w:fldCharType="begin"/>
    </w:r>
    <w:r>
      <w:instrText xml:space="preserve"> PAGE  \* MERGEFORMAT </w:instrText>
    </w:r>
    <w:r>
      <w:fldChar w:fldCharType="separate"/>
    </w:r>
    <w:r w:rsidR="006C514C">
      <w:rPr>
        <w:noProof/>
      </w:rPr>
      <w:t>2</w:t>
    </w:r>
    <w:r>
      <w:fldChar w:fldCharType="end"/>
    </w:r>
  </w:p>
  <w:p w:rsidR="007562FF" w:rsidRDefault="007562FF" w:rsidP="007562F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35AA5"/>
    <w:multiLevelType w:val="hybridMultilevel"/>
    <w:tmpl w:val="EECE0820"/>
    <w:lvl w:ilvl="0" w:tplc="3D369AE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9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FA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4A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65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14C"/>
    <w:rsid w:val="006D65B4"/>
    <w:rsid w:val="006E36B4"/>
    <w:rsid w:val="006F4C44"/>
    <w:rsid w:val="006F652B"/>
    <w:rsid w:val="0070018A"/>
    <w:rsid w:val="00712CBE"/>
    <w:rsid w:val="00730582"/>
    <w:rsid w:val="00741A09"/>
    <w:rsid w:val="00752616"/>
    <w:rsid w:val="0075577B"/>
    <w:rsid w:val="007562FF"/>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F3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84C"/>
    <w:rsid w:val="00C83317"/>
    <w:rsid w:val="00C937A1"/>
    <w:rsid w:val="00C93F56"/>
    <w:rsid w:val="00CB344E"/>
    <w:rsid w:val="00CF2757"/>
    <w:rsid w:val="00CF2761"/>
    <w:rsid w:val="00CF506C"/>
    <w:rsid w:val="00CF5911"/>
    <w:rsid w:val="00CF7045"/>
    <w:rsid w:val="00D011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FD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25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F6413F-9578-4FEA-B9AB-04C991CC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A4254"/>
    <w:pPr>
      <w:ind w:left="720"/>
      <w:contextualSpacing/>
    </w:pPr>
  </w:style>
  <w:style w:type="character" w:styleId="LineNumber">
    <w:name w:val="line number"/>
    <w:basedOn w:val="DefaultParagraphFont"/>
    <w:semiHidden/>
    <w:unhideWhenUsed/>
    <w:rsid w:val="0075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A3450-4D77-4CA3-8455-2AF2CEF83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2160</Words>
  <Characters>11045</Characters>
  <Application>Microsoft Office Word</Application>
  <DocSecurity>0</DocSecurity>
  <Lines>255</Lines>
  <Paragraphs>68</Paragraphs>
  <ScaleCrop>false</ScaleCrop>
  <HeadingPairs>
    <vt:vector size="2" baseType="variant">
      <vt:variant>
        <vt:lpstr>Title</vt:lpstr>
      </vt:variant>
      <vt:variant>
        <vt:i4>1</vt:i4>
      </vt:variant>
    </vt:vector>
  </HeadingPairs>
  <TitlesOfParts>
    <vt:vector size="1" baseType="lpstr">
      <vt:lpstr>A1808</vt:lpstr>
    </vt:vector>
  </TitlesOfParts>
  <Manager>R225</Manager>
  <Company>OFFICE of LEGISLATIVE SERVICES</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A1808</dc:title>
  <dc:creator>Assemblyman  PETERSON</dc:creator>
  <cp:keywords>A1808|6|RF |313|0|0|!|0|</cp:keywords>
  <dc:description>PREFILED 2020</dc:description>
  <cp:lastModifiedBy>Siracusa, Nicole</cp:lastModifiedBy>
  <cp:revision>2</cp:revision>
  <cp:lastPrinted>2005-07-29T18:13:00Z</cp:lastPrinted>
  <dcterms:created xsi:type="dcterms:W3CDTF">2020-01-11T18:26:00Z</dcterms:created>
  <dcterms:modified xsi:type="dcterms:W3CDTF">2020-01-11T18:26:00Z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