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A4A" w:rsidRDefault="008C5665" w:rsidP="00767A4A">
      <w:pPr>
        <w:pStyle w:val="bpuReprint"/>
      </w:pPr>
      <w:bookmarkStart w:id="0" w:name="_GoBack"/>
      <w:bookmarkEnd w:id="0"/>
      <w:r>
        <w:t>[Third Reprint]</w:t>
      </w:r>
    </w:p>
    <w:p w:rsidR="00C61AC8" w:rsidRDefault="00C61AC8" w:rsidP="00C61AC8">
      <w:pPr>
        <w:pStyle w:val="bpuBill"/>
      </w:pPr>
      <w:r>
        <w:t xml:space="preserve">ASSEMBLY, No. 1919 </w:t>
      </w:r>
    </w:p>
    <w:p w:rsidR="00C61AC8" w:rsidRPr="00C61AC8" w:rsidRDefault="00C61AC8" w:rsidP="00C6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2848160" r:id="rId8"/>
        </w:object>
      </w:r>
    </w:p>
    <w:p w:rsidR="00C61AC8" w:rsidRDefault="00C61AC8" w:rsidP="00C61AC8">
      <w:pPr>
        <w:pStyle w:val="bpuState"/>
      </w:pPr>
      <w:r>
        <w:t>STATE OF NEW JERSEY</w:t>
      </w:r>
    </w:p>
    <w:p w:rsidR="00C61AC8" w:rsidRDefault="00C61AC8" w:rsidP="00C61AC8">
      <w:pPr>
        <w:pStyle w:val="bpuLegislature"/>
      </w:pPr>
      <w:r>
        <w:t>219th LEGISLATURE</w:t>
      </w:r>
    </w:p>
    <w:p w:rsidR="00C61AC8" w:rsidRDefault="00C61AC8" w:rsidP="00C61AC8">
      <w:pPr>
        <w:pStyle w:val="bpuWpGraphic"/>
      </w:pPr>
      <w:r>
        <w:object w:dxaOrig="8985" w:dyaOrig="255">
          <v:shape id="_x0000_i1026" type="#_x0000_t75" style="width:6in;height:11pt" o:ole="">
            <v:imagedata r:id="rId7" o:title=""/>
          </v:shape>
          <o:OLEObject Type="Embed" ProgID="WPWin6.1" ShapeID="_x0000_i1026" DrawAspect="Content" ObjectID="_1682848161" r:id="rId9"/>
        </w:object>
      </w:r>
      <w:r>
        <w:t xml:space="preserve">  </w:t>
      </w:r>
    </w:p>
    <w:p w:rsidR="00C61AC8" w:rsidRDefault="00C61AC8" w:rsidP="00C61AC8">
      <w:pPr>
        <w:pStyle w:val="bpuIntro"/>
      </w:pPr>
      <w:r>
        <w:t>PRE-FILED FOR INTRODUCTION IN THE 2020 SESSION</w:t>
      </w:r>
    </w:p>
    <w:p w:rsidR="00C61AC8" w:rsidRDefault="00C61AC8" w:rsidP="00C61AC8">
      <w:pPr>
        <w:pStyle w:val="bpuIntro"/>
      </w:pPr>
    </w:p>
    <w:p w:rsidR="00C61AC8" w:rsidRDefault="00C61AC8" w:rsidP="00C61AC8">
      <w:pPr>
        <w:pStyle w:val="bpuIntro"/>
        <w:sectPr w:rsidR="00C61AC8" w:rsidSect="00651F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61AC8" w:rsidRDefault="00C61AC8" w:rsidP="00C61AC8">
      <w:pPr>
        <w:pStyle w:val="bpuIntro"/>
      </w:pPr>
    </w:p>
    <w:p w:rsidR="00C61AC8" w:rsidRDefault="00C61AC8" w:rsidP="00C61AC8">
      <w:pPr>
        <w:pStyle w:val="bpuSponsor"/>
      </w:pPr>
      <w:r>
        <w:t>Sponsored by:</w:t>
      </w:r>
    </w:p>
    <w:p w:rsidR="00C61AC8" w:rsidRDefault="00C61AC8" w:rsidP="00C61AC8">
      <w:pPr>
        <w:pStyle w:val="bpuSponsor"/>
      </w:pPr>
      <w:r>
        <w:t>Assemblyman  BENJIE E. WIMBERLY</w:t>
      </w:r>
    </w:p>
    <w:p w:rsidR="00C61AC8" w:rsidRDefault="00C61AC8" w:rsidP="00C61AC8">
      <w:pPr>
        <w:pStyle w:val="bpuSponsor"/>
      </w:pPr>
      <w:r>
        <w:t>District 35 (Bergen and Passaic)</w:t>
      </w:r>
    </w:p>
    <w:p w:rsidR="00C61AC8" w:rsidRDefault="00C61AC8" w:rsidP="00C61AC8">
      <w:pPr>
        <w:pStyle w:val="bpuSponsor"/>
      </w:pPr>
      <w:r>
        <w:t>Assemblywoman  VERLINA REYNOLDS-JACKSON</w:t>
      </w:r>
    </w:p>
    <w:p w:rsidR="00C61AC8" w:rsidRDefault="00C61AC8" w:rsidP="00C61AC8">
      <w:pPr>
        <w:pStyle w:val="bpuSponsor"/>
      </w:pPr>
      <w:r>
        <w:t>District 15 (Hunterdon and Mercer)</w:t>
      </w:r>
    </w:p>
    <w:p w:rsidR="00C61AC8" w:rsidRDefault="00BC1998" w:rsidP="00BC1998">
      <w:pPr>
        <w:pStyle w:val="bpuSponsor"/>
      </w:pPr>
      <w:r>
        <w:t>Assemblywoman  ANGELA V. MCKNIGHT</w:t>
      </w:r>
    </w:p>
    <w:p w:rsidR="00BC1998" w:rsidRDefault="00BC1998" w:rsidP="00BC1998">
      <w:pPr>
        <w:pStyle w:val="bpuSponsor"/>
      </w:pPr>
      <w:r>
        <w:t>District 31 (Hudson)</w:t>
      </w:r>
    </w:p>
    <w:p w:rsidR="00BC1998" w:rsidRPr="00BC1998" w:rsidRDefault="00BC1998" w:rsidP="00BC1998">
      <w:pPr>
        <w:pStyle w:val="bpuSponsor"/>
      </w:pPr>
    </w:p>
    <w:p w:rsidR="00D33C0C" w:rsidRDefault="00651F05" w:rsidP="00651F05">
      <w:pPr>
        <w:pStyle w:val="bpuSponsor"/>
      </w:pPr>
      <w:r>
        <w:t>Co-Sponsored by:</w:t>
      </w:r>
    </w:p>
    <w:p w:rsidR="00651F05" w:rsidRPr="00651F05" w:rsidRDefault="00651F05" w:rsidP="00651F05">
      <w:pPr>
        <w:pStyle w:val="bpuSponsor"/>
      </w:pPr>
      <w:r w:rsidRPr="00651F05">
        <w:t xml:space="preserve">Assemblywomen Carter, Timberlake, Assemblyman Spearman, Assemblywoman </w:t>
      </w:r>
      <w:proofErr w:type="spellStart"/>
      <w:r w:rsidRPr="00651F05">
        <w:t>Jasey</w:t>
      </w:r>
      <w:proofErr w:type="spellEnd"/>
      <w:r w:rsidRPr="00651F05">
        <w:t xml:space="preserve">, Assemblymen </w:t>
      </w:r>
      <w:proofErr w:type="spellStart"/>
      <w:r w:rsidRPr="00651F05">
        <w:t>Zwicker</w:t>
      </w:r>
      <w:proofErr w:type="spellEnd"/>
      <w:r w:rsidRPr="00651F05">
        <w:t xml:space="preserve">, McClellan, Assemblywomen </w:t>
      </w:r>
      <w:proofErr w:type="spellStart"/>
      <w:r w:rsidRPr="00651F05">
        <w:t>Chaparro</w:t>
      </w:r>
      <w:proofErr w:type="spellEnd"/>
      <w:r w:rsidRPr="00651F05">
        <w:t xml:space="preserve"> and </w:t>
      </w:r>
      <w:proofErr w:type="spellStart"/>
      <w:r w:rsidRPr="00651F05">
        <w:t>Vainieri</w:t>
      </w:r>
      <w:proofErr w:type="spellEnd"/>
      <w:r w:rsidRPr="00651F05">
        <w:t xml:space="preserve"> </w:t>
      </w:r>
      <w:proofErr w:type="spellStart"/>
      <w:r w:rsidRPr="00651F05">
        <w:t>Huttle</w:t>
      </w:r>
      <w:proofErr w:type="spellEnd"/>
    </w:p>
    <w:p w:rsidR="00CA37E2" w:rsidRDefault="00CA37E2" w:rsidP="00C61AC8"/>
    <w:p w:rsidR="00651F05" w:rsidRDefault="00651F05" w:rsidP="00C61AC8"/>
    <w:p w:rsidR="00C61AC8" w:rsidRPr="00C61AC8" w:rsidRDefault="00C61AC8" w:rsidP="00C61AC8"/>
    <w:p w:rsidR="00C61AC8" w:rsidRDefault="00C61AC8" w:rsidP="00C61AC8">
      <w:pPr>
        <w:pStyle w:val="bpuSponsor"/>
      </w:pPr>
    </w:p>
    <w:p w:rsidR="00C61AC8" w:rsidRDefault="00C61AC8" w:rsidP="00C61AC8">
      <w:pPr>
        <w:pStyle w:val="bpuSponsor"/>
      </w:pPr>
      <w:r>
        <w:t>SYNOPSIS</w:t>
      </w:r>
    </w:p>
    <w:p w:rsidR="00C61AC8" w:rsidRDefault="00C61AC8" w:rsidP="00C61AC8">
      <w:pPr>
        <w:pStyle w:val="bpuNormText"/>
      </w:pPr>
      <w:r>
        <w:tab/>
        <w:t xml:space="preserve">“Fair Chance in Housing Act”; establishes certain housing rights of persons with criminal records. </w:t>
      </w:r>
    </w:p>
    <w:p w:rsidR="00C61AC8" w:rsidRDefault="00C61AC8" w:rsidP="00C61AC8">
      <w:pPr>
        <w:pStyle w:val="bpuNormText"/>
      </w:pPr>
    </w:p>
    <w:p w:rsidR="00C61AC8" w:rsidRDefault="00C61AC8" w:rsidP="00C61AC8">
      <w:pPr>
        <w:pStyle w:val="bpuSponsor"/>
      </w:pPr>
      <w:r>
        <w:t xml:space="preserve">CURRENT VERSION OF TEXT </w:t>
      </w:r>
    </w:p>
    <w:p w:rsidR="00C61AC8" w:rsidRDefault="008C5665" w:rsidP="00C61AC8">
      <w:pPr>
        <w:pStyle w:val="bpuNormText"/>
      </w:pPr>
      <w:r>
        <w:tab/>
        <w:t>As reported by the Assembly Housing Committee on May 5, 2021, with amendments.</w:t>
      </w:r>
    </w:p>
    <w:p w:rsidR="00C61AC8" w:rsidRDefault="00C61AC8" w:rsidP="00C6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1AC8" w:rsidRDefault="00C6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1AC8" w:rsidSect="00C61AC8">
          <w:type w:val="continuous"/>
          <w:pgSz w:w="12240" w:h="20160" w:code="5"/>
          <w:pgMar w:top="2160" w:right="2275" w:bottom="1440" w:left="2275" w:header="72" w:footer="720" w:gutter="0"/>
          <w:pgNumType w:start="1"/>
          <w:cols w:space="720"/>
          <w:docGrid w:linePitch="360"/>
        </w:sectPr>
      </w:pPr>
    </w:p>
    <w:p w:rsidR="008C5665" w:rsidRPr="008C5665" w:rsidRDefault="008C5665" w:rsidP="008C56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spacing w:val="0"/>
        </w:rPr>
      </w:pPr>
      <w:r w:rsidRPr="008C5665">
        <w:rPr>
          <w:b/>
          <w:smallCaps/>
          <w:spacing w:val="0"/>
          <w:szCs w:val="20"/>
        </w:rPr>
        <w:lastRenderedPageBreak/>
        <w:t>An Act</w:t>
      </w:r>
      <w:r w:rsidRPr="008C5665">
        <w:t xml:space="preserve"> concerning the housing rights of </w:t>
      </w:r>
      <w:r w:rsidRPr="008C5665">
        <w:rPr>
          <w:rFonts w:ascii="Albertus Extra Bold" w:hAnsi="Albertus Extra Bold"/>
          <w:vertAlign w:val="superscript"/>
        </w:rPr>
        <w:t>3</w:t>
      </w:r>
      <w:r w:rsidRPr="008C5665">
        <w:rPr>
          <w:u w:val="single"/>
        </w:rPr>
        <w:t>certain</w:t>
      </w:r>
      <w:r w:rsidRPr="008C5665">
        <w:rPr>
          <w:rFonts w:ascii="Albertus Extra Bold" w:hAnsi="Albertus Extra Bold"/>
          <w:vertAlign w:val="superscript"/>
        </w:rPr>
        <w:t>3</w:t>
      </w:r>
      <w:r w:rsidRPr="008C5665">
        <w:t xml:space="preserve"> persons with criminal records and supplementing </w:t>
      </w:r>
      <w:r w:rsidRPr="008C5665">
        <w:rPr>
          <w:rFonts w:ascii="Albertus Extra Bold" w:hAnsi="Albertus Extra Bold"/>
          <w:vertAlign w:val="superscript"/>
        </w:rPr>
        <w:t>1</w:t>
      </w:r>
      <w:r w:rsidRPr="008C5665">
        <w:rPr>
          <w:rFonts w:ascii="Albertus Extra Bold" w:hAnsi="Albertus Extra Bold"/>
        </w:rPr>
        <w:t>[</w:t>
      </w:r>
      <w:r w:rsidRPr="008C5665">
        <w:t>P.L.1945, c.169 (C.10:5-1 et seq.)</w:t>
      </w:r>
      <w:r w:rsidRPr="008C5665">
        <w:rPr>
          <w:rFonts w:ascii="Albertus Extra Bold" w:hAnsi="Albertus Extra Bold"/>
        </w:rPr>
        <w:t>]</w:t>
      </w:r>
      <w:r w:rsidRPr="008C5665">
        <w:t xml:space="preserve"> </w:t>
      </w:r>
      <w:r w:rsidRPr="008C5665">
        <w:rPr>
          <w:rFonts w:ascii="Albertus Extra Bold" w:hAnsi="Albertus Extra Bold"/>
          <w:vertAlign w:val="superscript"/>
        </w:rPr>
        <w:t>3</w:t>
      </w:r>
      <w:r w:rsidRPr="008C5665">
        <w:rPr>
          <w:rFonts w:ascii="Albertus Extra Bold" w:hAnsi="Albertus Extra Bold"/>
        </w:rPr>
        <w:t>[</w:t>
      </w:r>
      <w:r w:rsidRPr="008C5665">
        <w:rPr>
          <w:u w:val="single"/>
        </w:rPr>
        <w:t>P.L.1975, c.310 (C.46:8-43 et seq.)</w:t>
      </w:r>
      <w:r w:rsidRPr="008C5665">
        <w:rPr>
          <w:rFonts w:ascii="Albertus Extra Bold" w:hAnsi="Albertus Extra Bold"/>
          <w:vertAlign w:val="superscript"/>
        </w:rPr>
        <w:t>1</w:t>
      </w:r>
      <w:r w:rsidRPr="008C5665">
        <w:rPr>
          <w:rFonts w:ascii="Albertus Extra Bold" w:hAnsi="Albertus Extra Bold"/>
        </w:rPr>
        <w:t>]</w:t>
      </w:r>
      <w:r w:rsidRPr="008C5665">
        <w:t xml:space="preserve"> </w:t>
      </w:r>
      <w:r w:rsidRPr="008C5665">
        <w:rPr>
          <w:u w:val="single"/>
        </w:rPr>
        <w:t>chapter 8 of Title 46 of the Revised Statutes</w:t>
      </w:r>
      <w:r w:rsidRPr="008C5665">
        <w:rPr>
          <w:rFonts w:ascii="Albertus Extra Bold" w:hAnsi="Albertus Extra Bold"/>
          <w:vertAlign w:val="superscript"/>
        </w:rPr>
        <w:t>3</w:t>
      </w:r>
      <w:r w:rsidRPr="008C5665">
        <w:t>.</w:t>
      </w:r>
    </w:p>
    <w:p w:rsidR="00481F65" w:rsidRPr="00D71D68" w:rsidRDefault="00481F65" w:rsidP="00481F65"/>
    <w:p w:rsidR="00481F65" w:rsidRPr="00AA7880" w:rsidRDefault="00481F65" w:rsidP="00481F65">
      <w:r>
        <w:tab/>
      </w:r>
      <w:r>
        <w:rPr>
          <w:rStyle w:val="BillHeading2"/>
        </w:rPr>
        <w:t xml:space="preserve">Be It Enacted </w:t>
      </w:r>
      <w:r>
        <w:rPr>
          <w:rStyle w:val="BillLanguage"/>
        </w:rPr>
        <w:t>by the Senate and General Assembly of the State of New Jersey:</w:t>
      </w:r>
    </w:p>
    <w:p w:rsidR="00481F65" w:rsidRPr="00D71D68" w:rsidRDefault="00481F65" w:rsidP="00481F65"/>
    <w:p w:rsidR="00481F65" w:rsidRDefault="00481F65" w:rsidP="00481F65">
      <w:r>
        <w:tab/>
        <w:t>1.  This act shall be known and may be cited as the “Fair Chance in Housing Act.”</w:t>
      </w:r>
    </w:p>
    <w:p w:rsidR="00481F65" w:rsidRDefault="00481F65" w:rsidP="00481F65"/>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rFonts w:ascii="Albertus Extra Bold" w:hAnsi="Albertus Extra Bold"/>
          <w:b/>
          <w:spacing w:val="0"/>
          <w:vertAlign w:val="superscript"/>
        </w:rPr>
        <w:t>3</w:t>
      </w:r>
      <w:r w:rsidRPr="00884848">
        <w:rPr>
          <w:spacing w:val="0"/>
          <w:u w:val="single"/>
        </w:rPr>
        <w:t>2.  The Legislature finds and declares that:</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a.  Recent research indicates that New Jersey suffers from a tragically high 36-month recidivism rate of over 30 percent;</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b.  Housing instability appears to impact recidivism, considering that over one in 10 prisoners in the United States face homelessness upon release;</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4848">
        <w:rPr>
          <w:spacing w:val="0"/>
        </w:rPr>
        <w:tab/>
      </w:r>
      <w:r w:rsidRPr="00884848">
        <w:rPr>
          <w:spacing w:val="0"/>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884848" w:rsidRPr="00884848" w:rsidRDefault="00884848" w:rsidP="008848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4848">
        <w:rPr>
          <w:spacing w:val="0"/>
        </w:rPr>
        <w:tab/>
      </w:r>
      <w:r w:rsidRPr="00884848">
        <w:rPr>
          <w:spacing w:val="0"/>
          <w:u w:val="single"/>
        </w:rPr>
        <w:t>e.  It is, therefore, necessary and in the public interest for the Legislature to enact legislation for the purpose of establishing certain housing rights of persons with criminal records.</w:t>
      </w:r>
      <w:r w:rsidRPr="00884848">
        <w:rPr>
          <w:rFonts w:ascii="Albertus Extra Bold" w:hAnsi="Albertus Extra Bold"/>
          <w:b/>
          <w:spacing w:val="0"/>
          <w:vertAlign w:val="superscript"/>
        </w:rPr>
        <w:t>3</w:t>
      </w:r>
    </w:p>
    <w:p w:rsidR="00884848" w:rsidRDefault="00884848" w:rsidP="00481F65"/>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rFonts w:ascii="Albertus Extra Bold" w:hAnsi="Albertus Extra Bold"/>
          <w:b/>
          <w:spacing w:val="0"/>
          <w:vertAlign w:val="superscript"/>
        </w:rPr>
        <w:t>3</w:t>
      </w:r>
      <w:r w:rsidRPr="00512310">
        <w:rPr>
          <w:rFonts w:ascii="Albertus Extra Bold" w:hAnsi="Albertus Extra Bold"/>
          <w:b/>
          <w:spacing w:val="0"/>
        </w:rPr>
        <w:t>[</w:t>
      </w:r>
      <w:r w:rsidRPr="00512310">
        <w:rPr>
          <w:spacing w:val="0"/>
        </w:rPr>
        <w:t>2.</w:t>
      </w:r>
      <w:r w:rsidRPr="00512310">
        <w:rPr>
          <w:rFonts w:ascii="Albertus Extra Bold" w:hAnsi="Albertus Extra Bold"/>
          <w:b/>
          <w:spacing w:val="0"/>
        </w:rPr>
        <w:t xml:space="preserve">] </w:t>
      </w:r>
      <w:r w:rsidRPr="00512310">
        <w:rPr>
          <w:spacing w:val="0"/>
          <w:u w:val="single"/>
        </w:rPr>
        <w:t>3.</w:t>
      </w:r>
      <w:r w:rsidRPr="00512310">
        <w:rPr>
          <w:rFonts w:ascii="Albertus Extra Bold" w:hAnsi="Albertus Extra Bold"/>
          <w:b/>
          <w:spacing w:val="0"/>
          <w:vertAlign w:val="superscript"/>
        </w:rPr>
        <w:t>3</w:t>
      </w:r>
      <w:r w:rsidRPr="00512310">
        <w:rPr>
          <w:spacing w:val="0"/>
        </w:rPr>
        <w:t xml:space="preserve">  As used in this act: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"Applicant" means any person considered for, who requests to be considered for, or who requests to be considered for tenancy within a rental dwelling unit.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color w:val="000000"/>
          <w:spacing w:val="0"/>
        </w:rPr>
        <w:t xml:space="preserve">“Criminal record” means information </w:t>
      </w:r>
      <w:r w:rsidRPr="00512310">
        <w:rPr>
          <w:rFonts w:ascii="Albertus Extra Bold" w:hAnsi="Albertus Extra Bold"/>
          <w:b/>
          <w:color w:val="000000"/>
          <w:vertAlign w:val="superscript"/>
        </w:rPr>
        <w:t>3</w:t>
      </w:r>
      <w:r w:rsidRPr="00512310">
        <w:rPr>
          <w:color w:val="000000"/>
          <w:spacing w:val="0"/>
          <w:u w:val="single"/>
        </w:rPr>
        <w:t>about an individual</w:t>
      </w:r>
      <w:r w:rsidRPr="00512310">
        <w:rPr>
          <w:rFonts w:ascii="Albertus Extra Bold" w:hAnsi="Albertus Extra Bold"/>
          <w:b/>
          <w:color w:val="000000"/>
          <w:vertAlign w:val="superscript"/>
        </w:rPr>
        <w:t>3</w:t>
      </w:r>
      <w:r w:rsidRPr="00512310">
        <w:rPr>
          <w:color w:val="000000"/>
          <w:spacing w:val="0"/>
        </w:rPr>
        <w:t xml:space="preserve"> collected by criminal justice agencies </w:t>
      </w:r>
      <w:r w:rsidRPr="00512310">
        <w:rPr>
          <w:rFonts w:ascii="Albertus Extra Bold" w:hAnsi="Albertus Extra Bold"/>
          <w:b/>
          <w:color w:val="000000"/>
          <w:vertAlign w:val="superscript"/>
        </w:rPr>
        <w:t>3</w:t>
      </w:r>
      <w:r w:rsidRPr="00512310">
        <w:rPr>
          <w:rFonts w:ascii="Albertus Extra Bold" w:hAnsi="Albertus Extra Bold"/>
          <w:b/>
          <w:color w:val="000000"/>
        </w:rPr>
        <w:t>[</w:t>
      </w:r>
      <w:r w:rsidRPr="00512310">
        <w:rPr>
          <w:color w:val="000000"/>
          <w:spacing w:val="0"/>
        </w:rPr>
        <w:t>on individuals</w:t>
      </w:r>
      <w:r w:rsidRPr="00512310">
        <w:rPr>
          <w:rFonts w:ascii="Albertus Extra Bold" w:hAnsi="Albertus Extra Bold"/>
          <w:b/>
        </w:rPr>
        <w:t>]</w:t>
      </w:r>
      <w:r w:rsidRPr="00512310">
        <w:rPr>
          <w:rFonts w:ascii="Albertus Extra Bold" w:hAnsi="Albertus Extra Bold"/>
          <w:b/>
          <w:vertAlign w:val="superscript"/>
        </w:rPr>
        <w:t>3</w:t>
      </w:r>
      <w:r w:rsidRPr="00512310">
        <w:rPr>
          <w:color w:val="000000"/>
          <w:spacing w:val="0"/>
        </w:rPr>
        <w:t xml:space="preserve"> consisting of identifiable descriptions and notations of arrests, detentions, indictments, </w:t>
      </w:r>
      <w:r w:rsidRPr="00512310">
        <w:rPr>
          <w:rFonts w:ascii="Albertus Extra Bold" w:hAnsi="Albertus Extra Bold"/>
          <w:b/>
          <w:color w:val="000000"/>
          <w:vertAlign w:val="superscript"/>
        </w:rPr>
        <w:t>3</w:t>
      </w:r>
      <w:r w:rsidRPr="00512310">
        <w:rPr>
          <w:color w:val="000000"/>
          <w:spacing w:val="0"/>
          <w:u w:val="single"/>
        </w:rPr>
        <w:t>criminal complaints,</w:t>
      </w:r>
      <w:r w:rsidRPr="00512310">
        <w:rPr>
          <w:rFonts w:ascii="Albertus Extra Bold" w:hAnsi="Albertus Extra Bold"/>
          <w:b/>
          <w:color w:val="000000"/>
          <w:vertAlign w:val="superscript"/>
        </w:rPr>
        <w:t>3</w:t>
      </w:r>
      <w:r w:rsidRPr="00512310">
        <w:rPr>
          <w:color w:val="000000"/>
          <w:spacing w:val="0"/>
        </w:rPr>
        <w:t xml:space="preserve"> or other formal criminal charges, 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12310">
        <w:rPr>
          <w:spacing w:val="0"/>
        </w:rPr>
        <w:tab/>
      </w:r>
      <w:r w:rsidRPr="00512310">
        <w:rPr>
          <w:rFonts w:ascii="Albertus Extra Bold" w:hAnsi="Albertus Extra Bold"/>
          <w:b/>
          <w:vertAlign w:val="superscript"/>
        </w:rPr>
        <w:t>3</w:t>
      </w:r>
      <w:r w:rsidRPr="00512310">
        <w:rPr>
          <w:spacing w:val="0"/>
          <w:u w:val="single"/>
        </w:rPr>
        <w:t>“Director” means the Director of the Division on Civil Rights.</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r>
      <w:r w:rsidRPr="00512310">
        <w:rPr>
          <w:spacing w:val="0"/>
          <w:u w:val="single"/>
        </w:rPr>
        <w:t>“Division” means the Division on Civil Rights in the Department of Law and Public Safety.</w:t>
      </w:r>
      <w:r w:rsidRPr="00512310">
        <w:rPr>
          <w:rFonts w:ascii="Albertus Extra Bold" w:hAnsi="Albertus Extra Bold"/>
          <w:b/>
          <w:vertAlign w:val="superscript"/>
        </w:rPr>
        <w:t>3</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“Housing provider” means a landlord, an owner, lessor, </w:t>
      </w:r>
      <w:proofErr w:type="spellStart"/>
      <w:r w:rsidRPr="00512310">
        <w:rPr>
          <w:spacing w:val="0"/>
        </w:rPr>
        <w:t>sublessor</w:t>
      </w:r>
      <w:proofErr w:type="spellEnd"/>
      <w:r w:rsidRPr="00512310">
        <w:rPr>
          <w:spacing w:val="0"/>
        </w:rPr>
        <w:t>, assignee, or their agent, or any other person receiving or entitled to receive rents or benefits for the use or occupancy of any rental dwelling unit.</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“Pending criminal accusation” means an existing accusation that an individual has committed a crime, lodged by a law enforcement agency through an indictment, information, complaint, or other formal charge.  </w:t>
      </w:r>
    </w:p>
    <w:p w:rsidR="00512310" w:rsidRPr="00512310" w:rsidRDefault="00512310" w:rsidP="005123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12310">
        <w:rPr>
          <w:spacing w:val="0"/>
        </w:rPr>
        <w:tab/>
        <w:t xml:space="preserve">“Rental dwelling unit” means a dwelling unit offered for rent by a housing provider for residential purposes, </w:t>
      </w:r>
      <w:r w:rsidRPr="00512310">
        <w:rPr>
          <w:spacing w:val="0"/>
          <w:sz w:val="23"/>
          <w:szCs w:val="23"/>
        </w:rPr>
        <w:t xml:space="preserve">other than a dwelling unit in an owner-occupied premises of not more than </w:t>
      </w:r>
      <w:r w:rsidRPr="00512310">
        <w:rPr>
          <w:rFonts w:ascii="Albertus Extra Bold" w:hAnsi="Albertus Extra Bold"/>
          <w:b/>
          <w:szCs w:val="23"/>
          <w:vertAlign w:val="superscript"/>
        </w:rPr>
        <w:t>3</w:t>
      </w:r>
      <w:r w:rsidRPr="00512310">
        <w:rPr>
          <w:rFonts w:ascii="Albertus Extra Bold" w:hAnsi="Albertus Extra Bold"/>
          <w:b/>
          <w:szCs w:val="23"/>
        </w:rPr>
        <w:t>[</w:t>
      </w:r>
      <w:r w:rsidRPr="00512310">
        <w:rPr>
          <w:spacing w:val="0"/>
          <w:sz w:val="23"/>
          <w:szCs w:val="23"/>
        </w:rPr>
        <w:t>three</w:t>
      </w:r>
      <w:r w:rsidRPr="00512310">
        <w:rPr>
          <w:rFonts w:ascii="Albertus Extra Bold" w:hAnsi="Albertus Extra Bold"/>
          <w:b/>
          <w:szCs w:val="23"/>
        </w:rPr>
        <w:t>]</w:t>
      </w:r>
      <w:r w:rsidRPr="00512310">
        <w:rPr>
          <w:spacing w:val="0"/>
          <w:sz w:val="23"/>
          <w:szCs w:val="23"/>
        </w:rPr>
        <w:t xml:space="preserve"> </w:t>
      </w:r>
      <w:r w:rsidRPr="00512310">
        <w:rPr>
          <w:spacing w:val="0"/>
          <w:sz w:val="23"/>
          <w:szCs w:val="23"/>
          <w:u w:val="single"/>
        </w:rPr>
        <w:t>four</w:t>
      </w:r>
      <w:r w:rsidRPr="00512310">
        <w:rPr>
          <w:rFonts w:ascii="Albertus Extra Bold" w:hAnsi="Albertus Extra Bold"/>
          <w:b/>
          <w:szCs w:val="23"/>
          <w:vertAlign w:val="superscript"/>
        </w:rPr>
        <w:t>3</w:t>
      </w:r>
      <w:r w:rsidRPr="00512310">
        <w:rPr>
          <w:spacing w:val="0"/>
          <w:sz w:val="23"/>
          <w:szCs w:val="23"/>
        </w:rPr>
        <w:t xml:space="preserve"> dwelling units.</w:t>
      </w:r>
    </w:p>
    <w:p w:rsidR="00481F65" w:rsidRDefault="00481F65" w:rsidP="00481F65"/>
    <w:p w:rsidR="00541709" w:rsidRPr="00541709" w:rsidRDefault="00541709" w:rsidP="005417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541709">
        <w:tab/>
      </w:r>
      <w:r w:rsidRPr="00541709">
        <w:rPr>
          <w:rFonts w:ascii="Albertus Extra Bold" w:hAnsi="Albertus Extra Bold"/>
          <w:b/>
          <w:spacing w:val="0"/>
          <w:vertAlign w:val="superscript"/>
        </w:rPr>
        <w:t>3</w:t>
      </w:r>
      <w:r w:rsidRPr="00541709">
        <w:rPr>
          <w:rFonts w:ascii="Albertus Extra Bold" w:hAnsi="Albertus Extra Bold"/>
          <w:b/>
          <w:spacing w:val="0"/>
        </w:rPr>
        <w:t>[</w:t>
      </w:r>
      <w:r w:rsidRPr="00541709">
        <w:rPr>
          <w:spacing w:val="0"/>
        </w:rPr>
        <w:t>3.</w:t>
      </w:r>
      <w:r w:rsidRPr="00541709">
        <w:rPr>
          <w:rFonts w:ascii="Albertus Extra Bold" w:hAnsi="Albertus Extra Bold"/>
          <w:b/>
          <w:spacing w:val="0"/>
        </w:rPr>
        <w:t>]</w:t>
      </w:r>
      <w:r w:rsidRPr="00541709">
        <w:rPr>
          <w:spacing w:val="0"/>
        </w:rPr>
        <w:t xml:space="preserve"> </w:t>
      </w:r>
      <w:r w:rsidRPr="00541709">
        <w:rPr>
          <w:spacing w:val="0"/>
          <w:u w:val="single"/>
        </w:rPr>
        <w:t>4.</w:t>
      </w:r>
      <w:r w:rsidRPr="00541709">
        <w:rPr>
          <w:rFonts w:ascii="Albertus Extra Bold" w:hAnsi="Albertus Extra Bold"/>
          <w:b/>
          <w:spacing w:val="0"/>
          <w:vertAlign w:val="superscript"/>
        </w:rPr>
        <w:t>3</w:t>
      </w:r>
      <w:r w:rsidRPr="00541709">
        <w:rPr>
          <w:spacing w:val="0"/>
        </w:rPr>
        <w:t xml:space="preserve">  </w:t>
      </w:r>
      <w:r w:rsidRPr="00541709">
        <w:rPr>
          <w:color w:val="000000"/>
          <w:spacing w:val="0"/>
        </w:rPr>
        <w:t xml:space="preserve">a.  (1)  </w:t>
      </w:r>
      <w:r w:rsidRPr="00541709">
        <w:rPr>
          <w:spacing w:val="0"/>
        </w:rPr>
        <w:t>A housing provider</w:t>
      </w:r>
      <w:r w:rsidRPr="00541709">
        <w:rPr>
          <w:color w:val="000000"/>
          <w:spacing w:val="0"/>
        </w:rPr>
        <w:t xml:space="preserve"> shall not require an applicant to complete any housing application that includes any inquiries regarding an applicant’s criminal record prior to the provision of a conditional offer </w:t>
      </w:r>
      <w:r w:rsidRPr="00541709">
        <w:rPr>
          <w:rFonts w:ascii="Albertus Extra Bold" w:hAnsi="Albertus Extra Bold"/>
          <w:b/>
          <w:color w:val="000000"/>
          <w:spacing w:val="0"/>
          <w:vertAlign w:val="superscript"/>
        </w:rPr>
        <w:t>3</w:t>
      </w:r>
      <w:r w:rsidRPr="00541709">
        <w:rPr>
          <w:color w:val="000000"/>
          <w:spacing w:val="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541709">
        <w:rPr>
          <w:rFonts w:ascii="Albertus Extra Bold" w:hAnsi="Albertus Extra Bold"/>
          <w:b/>
          <w:color w:val="000000"/>
          <w:spacing w:val="0"/>
          <w:vertAlign w:val="superscript"/>
        </w:rPr>
        <w:t>3</w:t>
      </w:r>
      <w:r w:rsidRPr="00541709">
        <w:rPr>
          <w:color w:val="000000"/>
          <w:spacing w:val="0"/>
        </w:rPr>
        <w:t>.</w:t>
      </w:r>
    </w:p>
    <w:p w:rsidR="00541709" w:rsidRPr="00541709" w:rsidRDefault="00541709" w:rsidP="005417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541709">
        <w:rPr>
          <w:color w:val="000000"/>
          <w:spacing w:val="0"/>
        </w:rPr>
        <w:tab/>
        <w:t>(2)</w:t>
      </w:r>
      <w:r w:rsidRPr="00541709">
        <w:rPr>
          <w:color w:val="000000"/>
          <w:spacing w:val="0"/>
        </w:rPr>
        <w:tab/>
      </w:r>
      <w:r w:rsidRPr="00541709">
        <w:rPr>
          <w:spacing w:val="0"/>
        </w:rPr>
        <w:t>A housing provider</w:t>
      </w:r>
      <w:r w:rsidRPr="00541709">
        <w:rPr>
          <w:color w:val="000000"/>
          <w:spacing w:val="0"/>
        </w:rPr>
        <w:t xml:space="preserve"> shall not make any oral or written inquiry regarding an applicant’s criminal record prior to making a conditional offer.</w:t>
      </w:r>
    </w:p>
    <w:p w:rsidR="00541709" w:rsidRPr="00541709" w:rsidRDefault="00541709" w:rsidP="00541709">
      <w:pPr>
        <w:rPr>
          <w:rFonts w:ascii="Albertus Extra Bold" w:hAnsi="Albertus Extra Bold"/>
          <w:b/>
          <w:color w:val="000000"/>
          <w:vertAlign w:val="superscript"/>
        </w:rPr>
      </w:pPr>
      <w:r w:rsidRPr="00541709">
        <w:rPr>
          <w:color w:val="000000"/>
        </w:rPr>
        <w:tab/>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 xml:space="preserve">(3)  An applicant </w:t>
      </w:r>
      <w:r w:rsidRPr="00541709">
        <w:t>may provide evidence to the housing provider demonstrating inaccuracies within the applicant's criminal record or evidence of rehabilitation or other mitigating factors.</w:t>
      </w:r>
      <w:r w:rsidRPr="00541709">
        <w:rPr>
          <w:rFonts w:ascii="Albertus Extra Bold" w:hAnsi="Albertus Extra Bold"/>
          <w:b/>
        </w:rPr>
        <w:t>]</w:t>
      </w:r>
      <w:r w:rsidRPr="00541709">
        <w:rPr>
          <w:rFonts w:ascii="Albertus Extra Bold" w:hAnsi="Albertus Extra Bold"/>
          <w:b/>
          <w:vertAlign w:val="superscript"/>
        </w:rPr>
        <w:t>1</w:t>
      </w:r>
      <w:r w:rsidRPr="00541709">
        <w:rPr>
          <w:color w:val="000000"/>
        </w:rPr>
        <w:t xml:space="preserve"> </w:t>
      </w:r>
      <w:r w:rsidRPr="00541709">
        <w:rPr>
          <w:rFonts w:ascii="Albertus Extra Bold" w:hAnsi="Albertus Extra Bold"/>
          <w:b/>
          <w:color w:val="000000"/>
          <w:vertAlign w:val="superscript"/>
        </w:rPr>
        <w:t>3</w:t>
      </w:r>
      <w:r w:rsidRPr="00541709">
        <w:rPr>
          <w:color w:val="000000"/>
          <w:spacing w:val="0"/>
          <w:u w:val="single"/>
        </w:rPr>
        <w:t xml:space="preserve">(3)  An applicant </w:t>
      </w:r>
      <w:r w:rsidRPr="00541709">
        <w:rPr>
          <w:spacing w:val="0"/>
          <w:u w:val="single"/>
        </w:rPr>
        <w:t>may provide evidence to the housing provider demonstrating inaccuracies within the applicant's criminal record or evidence of rehabilitation or other mitigating factors.</w:t>
      </w:r>
      <w:r w:rsidRPr="00541709">
        <w:rPr>
          <w:rFonts w:ascii="Albertus Extra Bold" w:hAnsi="Albertus Extra Bold"/>
          <w:b/>
          <w:vertAlign w:val="superscript"/>
        </w:rPr>
        <w:t>3</w:t>
      </w:r>
    </w:p>
    <w:p w:rsidR="00541709" w:rsidRPr="00541709" w:rsidRDefault="00541709" w:rsidP="00541709">
      <w:pPr>
        <w:rPr>
          <w:u w:val="single"/>
        </w:rPr>
      </w:pPr>
      <w:r w:rsidRPr="00541709">
        <w:rPr>
          <w:color w:val="000000"/>
        </w:rPr>
        <w:tab/>
        <w:t xml:space="preserve">b.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541709">
        <w:t>inquiries regarding the applicant’s criminal record prior to making the conditional offer.</w:t>
      </w:r>
    </w:p>
    <w:p w:rsidR="00541709" w:rsidRPr="00541709" w:rsidRDefault="00541709" w:rsidP="00541709">
      <w:r w:rsidRPr="00541709">
        <w:tab/>
        <w:t>c.</w:t>
      </w:r>
      <w:r w:rsidRPr="00541709">
        <w:rPr>
          <w:rFonts w:ascii="Albertus Extra Bold" w:hAnsi="Albertus Extra Bold"/>
          <w:b/>
        </w:rPr>
        <w:t>]</w:t>
      </w:r>
      <w:r w:rsidRPr="00541709">
        <w:rPr>
          <w:rFonts w:ascii="Albertus Extra Bold" w:hAnsi="Albertus Extra Bold"/>
          <w:b/>
          <w:vertAlign w:val="superscript"/>
        </w:rPr>
        <w:t>3</w:t>
      </w:r>
      <w:r w:rsidRPr="00541709">
        <w:t xml:space="preserve">  Prior to accepting any application fee, a housing provider shall disclose in writing to the applicant:</w:t>
      </w:r>
    </w:p>
    <w:p w:rsidR="00541709" w:rsidRPr="00541709" w:rsidRDefault="00541709" w:rsidP="00541709">
      <w:r w:rsidRPr="00541709">
        <w:tab/>
        <w:t>(1)</w:t>
      </w:r>
      <w:r w:rsidRPr="00541709">
        <w:tab/>
        <w:t>Whether the eligibility criteria of the housing provider include the review and consideration of criminal history; and</w:t>
      </w:r>
    </w:p>
    <w:p w:rsidR="00541709" w:rsidRPr="00541709" w:rsidRDefault="00541709" w:rsidP="00541709">
      <w:r w:rsidRPr="00541709">
        <w:tab/>
        <w:t>(2)</w:t>
      </w:r>
      <w:r w:rsidRPr="00541709">
        <w:tab/>
        <w:t xml:space="preserve">A statement that the applicant </w:t>
      </w:r>
      <w:r w:rsidRPr="00541709">
        <w:rPr>
          <w:rFonts w:ascii="Albertus Extra Bold" w:hAnsi="Albertus Extra Bold"/>
          <w:b/>
          <w:vertAlign w:val="superscript"/>
        </w:rPr>
        <w:t>1</w:t>
      </w:r>
      <w:r w:rsidRPr="00541709">
        <w:rPr>
          <w:rFonts w:ascii="Albertus Extra Bold" w:hAnsi="Albertus Extra Bold"/>
          <w:b/>
        </w:rPr>
        <w:t>[</w:t>
      </w:r>
      <w:r w:rsidRPr="00541709">
        <w:t>, pursuant to subsection a. of this section,</w:t>
      </w:r>
      <w:r w:rsidRPr="00541709">
        <w:rPr>
          <w:rFonts w:ascii="Albertus Extra Bold" w:hAnsi="Albertus Extra Bold"/>
          <w:b/>
        </w:rPr>
        <w:t>]</w:t>
      </w:r>
      <w:r w:rsidRPr="00541709">
        <w:rPr>
          <w:rFonts w:ascii="Albertus Extra Bold" w:hAnsi="Albertus Extra Bold"/>
          <w:b/>
          <w:vertAlign w:val="superscript"/>
        </w:rPr>
        <w:t>1</w:t>
      </w:r>
      <w:r w:rsidRPr="00541709">
        <w:t xml:space="preserve"> </w:t>
      </w:r>
      <w:r w:rsidRPr="00541709">
        <w:rPr>
          <w:rFonts w:ascii="Albertus Extra Bold" w:hAnsi="Albertus Extra Bold"/>
          <w:b/>
          <w:vertAlign w:val="superscript"/>
        </w:rPr>
        <w:t>3</w:t>
      </w:r>
      <w:r w:rsidRPr="00541709">
        <w:rPr>
          <w:u w:val="single"/>
        </w:rPr>
        <w:t>, pursuant to subsection a. of this section,</w:t>
      </w:r>
      <w:r w:rsidRPr="00541709">
        <w:rPr>
          <w:rFonts w:ascii="Albertus Extra Bold" w:hAnsi="Albertus Extra Bold"/>
          <w:b/>
          <w:vertAlign w:val="superscript"/>
        </w:rPr>
        <w:t>3</w:t>
      </w:r>
      <w:r w:rsidRPr="00541709">
        <w:t xml:space="preserve"> may provide evidence demonstrating inaccuracies within the applicant's criminal record or evidence of rehabilitation or other mitigating factors.</w:t>
      </w:r>
    </w:p>
    <w:p w:rsidR="00541709" w:rsidRPr="00541709" w:rsidRDefault="00541709" w:rsidP="00541709">
      <w:r w:rsidRPr="00541709">
        <w:tab/>
      </w:r>
      <w:r w:rsidRPr="00541709">
        <w:rPr>
          <w:rFonts w:ascii="Albertus Extra Bold" w:hAnsi="Albertus Extra Bold"/>
          <w:b/>
          <w:vertAlign w:val="superscript"/>
        </w:rPr>
        <w:t>3</w:t>
      </w:r>
      <w:r w:rsidRPr="00541709">
        <w:rPr>
          <w:rFonts w:ascii="Albertus Extra Bold" w:hAnsi="Albertus Extra Bold"/>
          <w:b/>
        </w:rPr>
        <w:t>[</w:t>
      </w:r>
      <w:r w:rsidRPr="00541709">
        <w:t>d.</w:t>
      </w:r>
      <w:r w:rsidRPr="00541709">
        <w:rPr>
          <w:rFonts w:ascii="Albertus Extra Bold" w:hAnsi="Albertus Extra Bold"/>
          <w:b/>
        </w:rPr>
        <w:t>]</w:t>
      </w:r>
      <w:r w:rsidRPr="00541709">
        <w:rPr>
          <w:rFonts w:ascii="Albertus Extra Bold" w:hAnsi="Albertus Extra Bold"/>
          <w:b/>
          <w:vertAlign w:val="superscript"/>
        </w:rPr>
        <w:t>3</w:t>
      </w:r>
      <w:r w:rsidRPr="00541709">
        <w:t xml:space="preserve">  </w:t>
      </w:r>
      <w:r w:rsidRPr="00541709">
        <w:rPr>
          <w:rFonts w:ascii="Albertus Extra Bold" w:hAnsi="Albertus Extra Bold"/>
          <w:b/>
          <w:vertAlign w:val="superscript"/>
        </w:rPr>
        <w:t>1</w:t>
      </w:r>
      <w:r w:rsidRPr="00541709">
        <w:rPr>
          <w:rFonts w:ascii="Albertus Extra Bold" w:hAnsi="Albertus Extra Bold"/>
          <w:b/>
        </w:rPr>
        <w:t>[</w:t>
      </w:r>
      <w:r w:rsidRPr="00541709">
        <w:t>After the issuance of a conditional offer to an applicant, a housing provider may only consider a criminal record in the applicant’s history that:</w:t>
      </w:r>
    </w:p>
    <w:p w:rsidR="00541709" w:rsidRPr="00541709" w:rsidRDefault="00541709" w:rsidP="00541709">
      <w:r w:rsidRPr="00541709">
        <w:tab/>
        <w:t xml:space="preserve">(1)  has occurred within the 10 years immediately preceding the issuance of the conditional offer; and </w:t>
      </w:r>
    </w:p>
    <w:p w:rsidR="00541709" w:rsidRPr="00541709" w:rsidRDefault="00541709" w:rsidP="00541709">
      <w:r w:rsidRPr="00541709">
        <w:tab/>
        <w:t xml:space="preserve">(2)  consists of a pending criminal accusation or a criminal conviction that, pursuant to subsection b. of N.J.S.2C:52-2, is not eligible for expungement.  </w:t>
      </w:r>
    </w:p>
    <w:p w:rsidR="00541709" w:rsidRPr="00541709" w:rsidRDefault="00541709" w:rsidP="00541709">
      <w:r w:rsidRPr="00541709">
        <w:tab/>
        <w:t>e.  (1)  A housing provider may withdraw a conditional offer based on an applicant's criminal record only if the housing provider determines, on balance, that the withdrawal achieves a substantial, legitimate, nondiscriminatory interest.</w:t>
      </w:r>
    </w:p>
    <w:p w:rsidR="00541709" w:rsidRPr="00541709" w:rsidRDefault="00541709" w:rsidP="00541709">
      <w:r w:rsidRPr="00541709">
        <w:tab/>
        <w:t>(2)  The housing provider's determination of a nondiscriminatory interest shall be reasonable in light of the following factors:</w:t>
      </w:r>
    </w:p>
    <w:p w:rsidR="00541709" w:rsidRPr="00541709" w:rsidRDefault="00541709" w:rsidP="00541709">
      <w:r w:rsidRPr="00541709">
        <w:tab/>
        <w:t>(a)  The nature and severity of the criminal offense;</w:t>
      </w:r>
    </w:p>
    <w:p w:rsidR="00541709" w:rsidRPr="00541709" w:rsidRDefault="00541709" w:rsidP="00541709">
      <w:r w:rsidRPr="00541709">
        <w:tab/>
        <w:t>(b)  The age of the applicant at the time of the occurrence of the criminal offense;</w:t>
      </w:r>
    </w:p>
    <w:p w:rsidR="00541709" w:rsidRPr="00541709" w:rsidRDefault="00541709" w:rsidP="00541709">
      <w:r w:rsidRPr="00541709">
        <w:tab/>
        <w:t>(c)  The time which has elapsed since the occurrence of the criminal offense;</w:t>
      </w:r>
    </w:p>
    <w:p w:rsidR="00541709" w:rsidRPr="00541709" w:rsidRDefault="00541709" w:rsidP="00541709">
      <w:r w:rsidRPr="00541709">
        <w:tab/>
        <w:t>(d)  Any information produced by the applicant, or produced on the applicant's behalf, in regard to the applicant's rehabilitation and good conduct since the occurrence of the criminal offense;</w:t>
      </w:r>
    </w:p>
    <w:p w:rsidR="00541709" w:rsidRPr="00541709" w:rsidRDefault="00541709" w:rsidP="00541709">
      <w:r w:rsidRPr="00541709">
        <w:tab/>
        <w:t>(e)  The degree to which the criminal offense, if it reoccurred, would negatively impact the safety of the housing provider's other tenants or property; and</w:t>
      </w:r>
    </w:p>
    <w:p w:rsidR="00541709" w:rsidRPr="00541709" w:rsidRDefault="00541709" w:rsidP="00541709">
      <w:r w:rsidRPr="00541709">
        <w:tab/>
        <w:t>(f)  Whether the criminal offense occurred on or was connected to property that was rented or leased by the applicant.</w:t>
      </w:r>
    </w:p>
    <w:p w:rsidR="00541709" w:rsidRPr="00541709" w:rsidRDefault="00541709" w:rsidP="00541709">
      <w:r w:rsidRPr="00541709">
        <w:tab/>
        <w:t xml:space="preserve">f.  (1) If a housing provider withdraws a conditional offer, the housing provider shall provide the applicant with written notification that includes, with specificity, the reason or reasons for the withdrawal of the conditional offer and a notice that advises the applicant of the applicant's right to file a complaint with the </w:t>
      </w:r>
      <w:r w:rsidRPr="00541709">
        <w:rPr>
          <w:rFonts w:ascii="Albertus Extra Bold" w:hAnsi="Albertus Extra Bold"/>
          <w:b/>
          <w:vertAlign w:val="superscript"/>
        </w:rPr>
        <w:t>3</w:t>
      </w:r>
      <w:r w:rsidRPr="00541709">
        <w:rPr>
          <w:rFonts w:ascii="Albertus Extra Bold" w:hAnsi="Albertus Extra Bold"/>
          <w:b/>
        </w:rPr>
        <w:t>[</w:t>
      </w:r>
      <w:r w:rsidRPr="00541709">
        <w:t>Attorney General</w:t>
      </w:r>
      <w:r w:rsidRPr="00541709">
        <w:rPr>
          <w:rFonts w:ascii="Albertus Extra Bold" w:hAnsi="Albertus Extra Bold"/>
          <w:b/>
        </w:rPr>
        <w:t>]</w:t>
      </w:r>
      <w:r w:rsidRPr="00541709">
        <w:t xml:space="preserve"> </w:t>
      </w:r>
      <w:r w:rsidRPr="00541709">
        <w:rPr>
          <w:u w:val="single"/>
        </w:rPr>
        <w:t>division</w:t>
      </w:r>
      <w:r w:rsidRPr="00541709">
        <w:rPr>
          <w:rFonts w:ascii="Albertus Extra Bold" w:hAnsi="Albertus Extra Bold"/>
          <w:b/>
          <w:vertAlign w:val="superscript"/>
        </w:rPr>
        <w:t>3</w:t>
      </w:r>
      <w:r w:rsidRPr="00541709">
        <w:t xml:space="preserve"> pursuant to section 6 of this act.</w:t>
      </w:r>
    </w:p>
    <w:p w:rsidR="00541709" w:rsidRPr="00541709" w:rsidRDefault="00541709" w:rsidP="00541709">
      <w:r w:rsidRPr="00541709">
        <w:tab/>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541709" w:rsidRPr="00541709" w:rsidRDefault="00541709" w:rsidP="00541709">
      <w:r w:rsidRPr="00541709">
        <w:tab/>
        <w:t>(b)  A housing provider shall provide the information requested under subparagraph (a) of this paragraph, free of charge, within l0 days after receipt of a timely request.</w:t>
      </w:r>
    </w:p>
    <w:p w:rsidR="00541709" w:rsidRPr="00541709" w:rsidRDefault="00541709" w:rsidP="00541709">
      <w:r w:rsidRPr="00541709">
        <w:tab/>
        <w:t>g.</w:t>
      </w:r>
      <w:r w:rsidRPr="00541709">
        <w:rPr>
          <w:rFonts w:ascii="Albertus Extra Bold" w:hAnsi="Albertus Extra Bold"/>
          <w:b/>
        </w:rPr>
        <w:t>]</w:t>
      </w:r>
      <w:r w:rsidRPr="00541709">
        <w:rPr>
          <w:rFonts w:ascii="Albertus Extra Bold" w:hAnsi="Albertus Extra Bold"/>
          <w:b/>
          <w:vertAlign w:val="superscript"/>
        </w:rPr>
        <w:t>1</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rPr>
        <w:t>Nothing set forth in this act shall be construed to prohibit a housing provider from requiring an applicant to complete a housing application that includes any inquiries regarding an applicant’s criminal record after</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the</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a</w:t>
      </w:r>
      <w:r w:rsidRPr="00541709">
        <w:rPr>
          <w:rFonts w:ascii="Albertus Extra Bold" w:hAnsi="Albertus Extra Bold"/>
          <w:b/>
          <w:color w:val="000000"/>
          <w:vertAlign w:val="superscript"/>
        </w:rPr>
        <w:t>1</w:t>
      </w:r>
      <w:r w:rsidRPr="00541709">
        <w:rPr>
          <w:color w:val="000000"/>
        </w:rPr>
        <w:t xml:space="preserve"> conditional offer is provided or from making any oral or written inquiries regarding an applicant’s criminal record after the conditional offer is provided.  The provisions of this section shall not preclude a housing provider from</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refusing to provide housing to an applicant</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rescinding a conditional offer</w:t>
      </w:r>
      <w:r w:rsidRPr="00541709">
        <w:rPr>
          <w:rFonts w:ascii="Albertus Extra Bold" w:hAnsi="Albertus Extra Bold"/>
          <w:b/>
          <w:color w:val="000000"/>
          <w:vertAlign w:val="superscript"/>
        </w:rPr>
        <w:t>1</w:t>
      </w:r>
      <w:r w:rsidRPr="00541709">
        <w:rPr>
          <w:color w:val="000000"/>
        </w:rPr>
        <w:t xml:space="preserve"> based upon the applicant’s criminal record, </w:t>
      </w:r>
      <w:r w:rsidRPr="00541709">
        <w:t>unless the criminal record or relevant portion thereof has been expunged or erased through executive pardon,</w:t>
      </w:r>
      <w:r w:rsidRPr="00541709">
        <w:rPr>
          <w:color w:val="000000"/>
        </w:rPr>
        <w:t xml:space="preserve"> </w:t>
      </w:r>
      <w:r w:rsidRPr="00541709">
        <w:rPr>
          <w:rFonts w:ascii="Albertus Extra Bold" w:hAnsi="Albertus Extra Bold"/>
          <w:b/>
          <w:color w:val="000000"/>
          <w:vertAlign w:val="superscript"/>
        </w:rPr>
        <w:t>1</w:t>
      </w:r>
      <w:r w:rsidRPr="00541709">
        <w:rPr>
          <w:color w:val="000000"/>
          <w:u w:val="single"/>
        </w:rPr>
        <w:t>as</w:t>
      </w:r>
      <w:r w:rsidRPr="00541709">
        <w:rPr>
          <w:rFonts w:ascii="Albertus Extra Bold" w:hAnsi="Albertus Extra Bold"/>
          <w:b/>
          <w:color w:val="000000"/>
          <w:vertAlign w:val="superscript"/>
        </w:rPr>
        <w:t>1</w:t>
      </w:r>
      <w:r w:rsidRPr="00541709">
        <w:rPr>
          <w:color w:val="000000"/>
        </w:rPr>
        <w:t xml:space="preserve"> provided</w:t>
      </w:r>
      <w:r w:rsidRPr="00541709">
        <w:rPr>
          <w:rFonts w:ascii="Albertus Extra Bold" w:hAnsi="Albertus Extra Bold"/>
          <w:b/>
        </w:rPr>
        <w:t>]</w:t>
      </w:r>
      <w:r w:rsidRPr="00541709">
        <w:rPr>
          <w:rFonts w:ascii="Albertus Extra Bold" w:hAnsi="Albertus Extra Bold"/>
          <w:b/>
          <w:vertAlign w:val="superscript"/>
        </w:rPr>
        <w:t>3</w:t>
      </w:r>
      <w:r w:rsidRPr="00541709">
        <w:rPr>
          <w:color w:val="000000"/>
        </w:rPr>
        <w:t xml:space="preserve"> </w:t>
      </w:r>
      <w:r w:rsidRPr="00541709">
        <w:rPr>
          <w:rFonts w:ascii="Albertus Extra Bold" w:hAnsi="Albertus Extra Bold"/>
          <w:b/>
          <w:color w:val="000000"/>
          <w:vertAlign w:val="superscript"/>
        </w:rPr>
        <w:t>1</w:t>
      </w:r>
      <w:r w:rsidRPr="00541709">
        <w:rPr>
          <w:rFonts w:ascii="Albertus Extra Bold" w:hAnsi="Albertus Extra Bold"/>
          <w:b/>
          <w:color w:val="000000"/>
        </w:rPr>
        <w:t>[</w:t>
      </w:r>
      <w:r w:rsidRPr="00541709">
        <w:rPr>
          <w:color w:val="000000"/>
        </w:rPr>
        <w:t>that such refusal is consistent with other applicable laws, rules and regulations</w:t>
      </w:r>
      <w:r w:rsidRPr="00541709">
        <w:rPr>
          <w:rFonts w:ascii="Albertus Extra Bold" w:hAnsi="Albertus Extra Bold"/>
          <w:b/>
        </w:rPr>
        <w:t>]</w:t>
      </w:r>
      <w:r w:rsidRPr="00541709">
        <w:rPr>
          <w:color w:val="000000"/>
        </w:rPr>
        <w:t xml:space="preserve"> </w:t>
      </w:r>
      <w:r w:rsidRPr="00541709">
        <w:rPr>
          <w:rFonts w:ascii="Albertus Extra Bold" w:hAnsi="Albertus Extra Bold"/>
          <w:b/>
          <w:color w:val="000000"/>
          <w:vertAlign w:val="superscript"/>
        </w:rPr>
        <w:t>3</w:t>
      </w:r>
      <w:r w:rsidRPr="00541709">
        <w:rPr>
          <w:rFonts w:ascii="Albertus Extra Bold" w:hAnsi="Albertus Extra Bold"/>
          <w:b/>
          <w:color w:val="000000"/>
        </w:rPr>
        <w:t>[</w:t>
      </w:r>
      <w:r w:rsidRPr="00541709">
        <w:rPr>
          <w:color w:val="000000"/>
          <w:u w:val="single"/>
        </w:rPr>
        <w:t>in P.L.    , c.   (C.       ) (pending before the Legislature as this bill) or any other relevant federal or State law</w:t>
      </w:r>
      <w:r w:rsidRPr="00541709">
        <w:rPr>
          <w:rFonts w:ascii="Albertus Extra Bold" w:hAnsi="Albertus Extra Bold"/>
          <w:b/>
          <w:color w:val="000000"/>
          <w:vertAlign w:val="superscript"/>
        </w:rPr>
        <w:t>1</w:t>
      </w:r>
      <w:r w:rsidRPr="00541709">
        <w:rPr>
          <w:rFonts w:ascii="Albertus Extra Bold" w:hAnsi="Albertus Extra Bold"/>
          <w:b/>
        </w:rPr>
        <w:t>]</w:t>
      </w:r>
      <w:r w:rsidRPr="00541709">
        <w:rPr>
          <w:color w:val="000000"/>
        </w:rPr>
        <w:t xml:space="preserve"> </w:t>
      </w:r>
      <w:r w:rsidRPr="00541709">
        <w:rPr>
          <w:color w:val="000000"/>
          <w:spacing w:val="0"/>
          <w:u w:val="single"/>
        </w:rPr>
        <w:t>c.  A housing provider shall apply the standards established by this section to each applicant in a nondiscriminatory manner</w:t>
      </w:r>
      <w:r w:rsidRPr="00541709">
        <w:rPr>
          <w:rFonts w:ascii="Albertus Extra Bold" w:hAnsi="Albertus Extra Bold"/>
          <w:b/>
          <w:color w:val="000000"/>
          <w:vertAlign w:val="superscript"/>
        </w:rPr>
        <w:t>3</w:t>
      </w:r>
      <w:r w:rsidRPr="00541709">
        <w:rPr>
          <w:color w:val="000000"/>
        </w:rPr>
        <w:t>.</w:t>
      </w:r>
    </w:p>
    <w:p w:rsidR="00481F65" w:rsidRDefault="00481F65" w:rsidP="00481F65"/>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00C463D1">
        <w:rPr>
          <w:rFonts w:ascii="Albertus Extra Bold" w:hAnsi="Albertus Extra Bold"/>
          <w:b/>
          <w:vertAlign w:val="superscript"/>
        </w:rPr>
        <w:t>3</w:t>
      </w:r>
      <w:r w:rsidR="00C463D1" w:rsidRPr="00C463D1">
        <w:rPr>
          <w:rFonts w:ascii="Albertus Extra Bold" w:hAnsi="Albertus Extra Bold"/>
          <w:b/>
        </w:rPr>
        <w:t>[</w:t>
      </w:r>
      <w:r w:rsidRPr="001F39DA">
        <w:rPr>
          <w:rFonts w:ascii="Albertus Extra Bold" w:hAnsi="Albertus Extra Bold"/>
          <w:b/>
          <w:spacing w:val="0"/>
          <w:vertAlign w:val="superscript"/>
        </w:rPr>
        <w:t>1</w:t>
      </w:r>
      <w:r w:rsidRPr="001F39DA">
        <w:rPr>
          <w:spacing w:val="0"/>
          <w:u w:val="single"/>
        </w:rPr>
        <w:t>4.  a.  A housing provider shall not, either before or after the issuance of a conditional offer, evaluate an applicant based on any of the following types of criminal records: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arrests or charges that have not resulted in a criminal conviction;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expunged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convictions erased through executive pardon;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vacated and otherwise legally nullified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1F39DA">
        <w:rPr>
          <w:spacing w:val="0"/>
        </w:rPr>
        <w:tab/>
      </w:r>
      <w:r w:rsidRPr="001F39DA">
        <w:rPr>
          <w:spacing w:val="0"/>
          <w:u w:val="single"/>
        </w:rPr>
        <w:t>(5) juvenile adjudications of delinquency;</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and</w:t>
      </w:r>
      <w:r w:rsidRPr="001F39DA">
        <w:rPr>
          <w:rFonts w:ascii="Albertus Extra Bold" w:hAnsi="Albertus Extra Bold"/>
          <w:b/>
        </w:rPr>
        <w:t>]</w:t>
      </w:r>
      <w:r w:rsidRPr="001F39DA">
        <w:rPr>
          <w:rFonts w:ascii="Albertus Extra Bold" w:hAnsi="Albertus Extra Bold"/>
          <w:b/>
          <w:vertAlign w:val="superscript"/>
        </w:rPr>
        <w:t>2</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(6) records that have been sealed</w:t>
      </w:r>
      <w:r w:rsidRPr="001F39DA">
        <w:rPr>
          <w:spacing w:val="0"/>
        </w:rPr>
        <w:t xml:space="preserve"> </w:t>
      </w:r>
      <w:r w:rsidRPr="001F39DA">
        <w:rPr>
          <w:rFonts w:ascii="Albertus Extra Bold" w:hAnsi="Albertus Extra Bold"/>
          <w:b/>
          <w:vertAlign w:val="superscript"/>
        </w:rPr>
        <w:t>2</w:t>
      </w:r>
      <w:r w:rsidRPr="001F39DA">
        <w:rPr>
          <w:spacing w:val="0"/>
          <w:u w:val="single"/>
        </w:rPr>
        <w:t>;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(7) records from a different state concerning actions that, if committed in the State, would be decriminalized or legalized, or both, pursuant to P.L.    , c.    (C.       ) (pending before the Legislature as A1897/4269 (ACS) / S2535 of 2020) or P.L.    , c.    (C.       ) (pending before the Legislature as A21 / S21 of 2020)</w:t>
      </w:r>
      <w:r w:rsidRPr="001F39DA">
        <w:rPr>
          <w:rFonts w:ascii="Albertus Extra Bold" w:hAnsi="Albertus Extra Bold"/>
          <w:b/>
          <w:vertAlign w:val="superscript"/>
        </w:rPr>
        <w:t>2</w:t>
      </w:r>
      <w:r w:rsidRPr="001F39DA">
        <w:rPr>
          <w:spacing w:val="0"/>
        </w:rPr>
        <w:t xml:space="preserve"> </w:t>
      </w:r>
      <w:r w:rsidRPr="001F39DA">
        <w:rPr>
          <w:spacing w:val="0"/>
          <w:u w:val="single"/>
        </w:rPr>
        <w: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After the issuance of a conditional offer to an applicant, a housing provider may only consider a criminal record in the applicant’s history that: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resulted in a conviction for murder, aggravated sexual assault, kidnapping, arson, human trafficking, or any crime that resulted in lifetime registration in a state sex offender registry;</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is for an indictable offense of the first or second degree that was issued, or if the conviction resulted in a prison sentence that sentence concluded, within the 10 years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is for an indictable offense of the third or fourth degree that was issued, or if the conviction resulted in a prison sentence that concluded, within the five years immediately preceding the issuance of the conditional offer; or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is for a disorderly person’s offense that was issued, or if the conviction resulted in a prison sentence that concluded, within one year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(1) A housing provider may withdraw a conditional offer based on an applicant's criminal record only if the housing provider determines through reliable evidence that the criminal conduct in question indicates a demonstrable risk to resident safety or property and that, on balance, the withdrawal achieves a substantial, legitimate, and nondiscriminatory interest.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The housing provider shall</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perform</w:t>
      </w:r>
      <w:r w:rsidRPr="001F39DA">
        <w:rPr>
          <w:rFonts w:ascii="Albertus Extra Bold" w:hAnsi="Albertus Extra Bold"/>
          <w:b/>
        </w:rPr>
        <w:t>]</w:t>
      </w:r>
      <w:r w:rsidRPr="001F39DA">
        <w:rPr>
          <w:spacing w:val="0"/>
        </w:rPr>
        <w:t xml:space="preserve"> </w:t>
      </w:r>
      <w:r w:rsidRPr="001F39DA">
        <w:rPr>
          <w:spacing w:val="0"/>
          <w:u w:val="single"/>
        </w:rPr>
        <w:t>not withdraw a conditional offer unless the housing provider has conducted</w:t>
      </w:r>
      <w:r w:rsidRPr="001F39DA">
        <w:rPr>
          <w:rFonts w:ascii="Albertus Extra Bold" w:hAnsi="Albertus Extra Bold"/>
          <w:b/>
          <w:vertAlign w:val="superscript"/>
        </w:rPr>
        <w:t>2</w:t>
      </w:r>
      <w:r w:rsidRPr="001F39DA">
        <w:rPr>
          <w:spacing w:val="0"/>
        </w:rPr>
        <w:t xml:space="preserve"> </w:t>
      </w:r>
      <w:r w:rsidRPr="001F39DA">
        <w:rPr>
          <w:spacing w:val="0"/>
          <w:u w:val="single"/>
        </w:rPr>
        <w:t>an individualized assessment of the application</w:t>
      </w:r>
      <w:r w:rsidRPr="001F39DA">
        <w:rPr>
          <w:spacing w:val="0"/>
        </w:rPr>
        <w:t xml:space="preserve"> </w:t>
      </w:r>
      <w:r w:rsidRPr="001F39DA">
        <w:rPr>
          <w:rFonts w:ascii="Albertus Extra Bold" w:hAnsi="Albertus Extra Bold"/>
          <w:b/>
          <w:vertAlign w:val="superscript"/>
        </w:rPr>
        <w:t>2</w:t>
      </w:r>
      <w:r w:rsidRPr="001F39DA">
        <w:rPr>
          <w:spacing w:val="0"/>
          <w:u w:val="single"/>
        </w:rPr>
        <w:t>.  An individualized assessment of an application shall be conducted</w:t>
      </w:r>
      <w:r w:rsidRPr="001F39DA">
        <w:rPr>
          <w:rFonts w:ascii="Albertus Extra Bold" w:hAnsi="Albertus Extra Bold"/>
          <w:b/>
          <w:vertAlign w:val="superscript"/>
        </w:rPr>
        <w:t>2</w:t>
      </w:r>
      <w:r w:rsidRPr="001F39DA">
        <w:rPr>
          <w:spacing w:val="0"/>
        </w:rPr>
        <w:t xml:space="preserve"> </w:t>
      </w:r>
      <w:r w:rsidRPr="001F39DA">
        <w:rPr>
          <w:spacing w:val="0"/>
          <w:u w:val="single"/>
        </w:rPr>
        <w:t>in light of the following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(a) The nature and severity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The age of the applicant at the time of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The time which has elapsed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Any information produced by the applicant, or produced on the applicant's behalf, in regard to the applicant's rehabilitation and good conduct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(e) The degree to which the criminal offense, if it reoccurred, would negatively impact the safety of the housing provider's other tenants or property;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(f) Whether the criminal offense occurred on or was connected to property that was rented or leased by the applicant.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(1)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6F61AF" w:rsidRPr="00C463D1" w:rsidRDefault="001F39DA" w:rsidP="001F39DA">
      <w:pPr>
        <w:rPr>
          <w:rFonts w:ascii="Albertus Extra Bold" w:hAnsi="Albertus Extra Bold"/>
          <w:b/>
          <w:vertAlign w:val="superscript"/>
        </w:rPr>
      </w:pPr>
      <w:r w:rsidRPr="001F39DA">
        <w:rPr>
          <w:spacing w:val="0"/>
        </w:rPr>
        <w:tab/>
      </w:r>
      <w:r w:rsidRPr="001F39DA">
        <w:rPr>
          <w:spacing w:val="0"/>
          <w:u w:val="single"/>
        </w:rPr>
        <w:t>(2) A housing provider shall provide the information requested under subparagraph (a) of this paragraph, free of charge, within l0 days after receipt of a timely request.</w:t>
      </w:r>
      <w:r w:rsidRPr="001F39DA">
        <w:rPr>
          <w:rFonts w:ascii="Albertus Extra Bold" w:hAnsi="Albertus Extra Bold"/>
          <w:b/>
          <w:spacing w:val="0"/>
          <w:vertAlign w:val="superscript"/>
        </w:rPr>
        <w:t>1</w:t>
      </w:r>
      <w:r w:rsidR="00C463D1" w:rsidRPr="00C463D1">
        <w:rPr>
          <w:rFonts w:ascii="Albertus Extra Bold" w:hAnsi="Albertus Extra Bold"/>
          <w:b/>
        </w:rPr>
        <w:t>]</w:t>
      </w:r>
      <w:r w:rsidR="00C463D1">
        <w:rPr>
          <w:rFonts w:ascii="Albertus Extra Bold" w:hAnsi="Albertus Extra Bold"/>
          <w:b/>
          <w:vertAlign w:val="superscript"/>
        </w:rPr>
        <w:t>3</w:t>
      </w:r>
    </w:p>
    <w:p w:rsidR="006F61AF" w:rsidRDefault="006F61AF" w:rsidP="00481F65"/>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rFonts w:ascii="Albertus Extra Bold" w:hAnsi="Albertus Extra Bold"/>
          <w:b/>
          <w:spacing w:val="0"/>
          <w:vertAlign w:val="superscript"/>
        </w:rPr>
        <w:t>3</w:t>
      </w:r>
      <w:r w:rsidRPr="00A17D9B">
        <w:rPr>
          <w:spacing w:val="0"/>
          <w:u w:val="single"/>
        </w:rPr>
        <w:t>5.  a.  A housing provider shall not, either before or after the issuance of a conditional offer, evaluate an applicant based on any of the following types of criminal records:</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(1)  arrests or charges that have not resulted in a criminal conviction;</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(2)  expunged convictions;</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(3)  convictions erased through executive pardon;</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(4)  vacated and otherwise legally nullified convictions;</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(5)  juvenile adjudications of delinquency; and</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(6)  records that have been sealed.</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b.  After the issuance of a conditional offer to an applicant, a housing provider may only consider a criminal record in the applicant’s history that:</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(1)  resulted in a conviction for murder, aggravated sexual assault, kidnapping, arson, human trafficking, or any crime that resulted in lifetime registration in a state sex offender registry;</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(2)  is for an indictable offense of the first degree that was issued, or if the conviction resulted in a prison sentence that sentence concluded, within the six years immediately preceding the issuance of the conditional offer;</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(3)  is for an indictable offense of the second or third degree that was issued, or if the conviction resulted in a prison sentence that concluded, within the four years immediately preceding the issuance of the conditional offer; or</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(4)  is for an indictable offense of the fourth degree that was issued, or if the conviction resulted in a prison sentence that concluded, within one year immediately preceding the issuance of the conditional offer.</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c.  (1)  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(3)  The housing provider shall perform an individualized assessment of the application in light of the following factors:</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(a)  the nature and severity of the criminal offense;</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(b)  the age of the applicant at the time of the occurrence of the criminal offense;</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(c)  the time which has elapsed since the occurrence of the criminal offense;</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(d)  any information produced by the applicant, or produced on the applicant's behalf, in regard to the applicant's rehabilitation and good conduct since the occurrence of the criminal offense;</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(e)  the degree to which the criminal offense, if it reoccurred, would negatively impact the safety of the housing provider's other tenants or property; and</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(f)  whether the criminal offense occurred on or was connected to property that was rented or leased by the applicant.</w:t>
      </w:r>
    </w:p>
    <w:p w:rsidR="00A17D9B" w:rsidRP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17D9B">
        <w:rPr>
          <w:spacing w:val="0"/>
        </w:rPr>
        <w:tab/>
      </w:r>
      <w:r w:rsidRPr="00A17D9B">
        <w:rPr>
          <w:spacing w:val="0"/>
          <w:u w:val="single"/>
        </w:rPr>
        <w:t>d.  (1)  the applicant may request, within 30 days after the housing provider's notice of the withdrawal, that the housing provider afford the applicant a copy of all information that the housing provider relied upon in considering the applicant, including criminal records.</w:t>
      </w:r>
    </w:p>
    <w:p w:rsidR="00A17D9B" w:rsidRDefault="00A17D9B"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17D9B">
        <w:rPr>
          <w:spacing w:val="0"/>
        </w:rPr>
        <w:tab/>
      </w:r>
      <w:r w:rsidRPr="00A17D9B">
        <w:rPr>
          <w:spacing w:val="0"/>
          <w:u w:val="single"/>
        </w:rPr>
        <w:t>(2)  a housing provider shall provide the information requested under paragraph (1) of this subsection, free of charge, within l0 days after receipt of a timely request.</w:t>
      </w:r>
      <w:r w:rsidRPr="00A17D9B">
        <w:rPr>
          <w:rFonts w:ascii="Albertus Extra Bold" w:hAnsi="Albertus Extra Bold"/>
          <w:b/>
          <w:spacing w:val="0"/>
          <w:vertAlign w:val="superscript"/>
        </w:rPr>
        <w:t>3</w:t>
      </w:r>
    </w:p>
    <w:p w:rsidR="00E55465" w:rsidRPr="00A17D9B" w:rsidRDefault="00E55465" w:rsidP="00A17D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E55465">
        <w:rPr>
          <w:color w:val="000000"/>
          <w:spacing w:val="0"/>
        </w:rPr>
        <w:tab/>
      </w:r>
      <w:r w:rsidRPr="00E55465">
        <w:rPr>
          <w:rFonts w:ascii="Albertus Extra Bold" w:hAnsi="Albertus Extra Bold"/>
          <w:b/>
          <w:color w:val="000000"/>
          <w:vertAlign w:val="superscript"/>
        </w:rPr>
        <w:t>3</w:t>
      </w:r>
      <w:r w:rsidRPr="00E55465">
        <w:rPr>
          <w:color w:val="000000"/>
          <w:spacing w:val="0"/>
          <w:u w:val="single"/>
        </w:rPr>
        <w:t>6.  a.  The director shall prepare:</w:t>
      </w: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5465">
        <w:rPr>
          <w:color w:val="000000"/>
          <w:spacing w:val="0"/>
        </w:rPr>
        <w:tab/>
      </w:r>
      <w:r w:rsidRPr="00E55465">
        <w:rPr>
          <w:color w:val="000000"/>
          <w:spacing w:val="0"/>
          <w:u w:val="single"/>
        </w:rPr>
        <w:t xml:space="preserve">(1)  a model disclosure statement as indicated in subsection b. of section 4 of this act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section 5 of this act.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5465">
        <w:rPr>
          <w:color w:val="000000"/>
          <w:spacing w:val="0"/>
        </w:rPr>
        <w:tab/>
      </w:r>
      <w:r w:rsidRPr="00E55465">
        <w:rPr>
          <w:color w:val="000000"/>
          <w:spacing w:val="0"/>
          <w:u w:val="single"/>
        </w:rPr>
        <w:t>(2)  a model notice that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division, as well as the applicable statute of limitations, and shall include such other additional information as the director deems appropriate.</w:t>
      </w:r>
    </w:p>
    <w:p w:rsidR="00E55465" w:rsidRPr="00E55465" w:rsidRDefault="00E55465" w:rsidP="00E554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55465">
        <w:rPr>
          <w:color w:val="000000"/>
          <w:spacing w:val="0"/>
        </w:rPr>
        <w:tab/>
      </w:r>
      <w:r w:rsidRPr="00E55465">
        <w:rPr>
          <w:color w:val="000000"/>
          <w:spacing w:val="0"/>
          <w:u w:val="single"/>
        </w:rPr>
        <w:t>b.  The model documents prepared pursuant to this section shall be made available on the division’s Internet website, at no cost, and shall be in English, Spanish, and in any other language the director deems appropriate.</w:t>
      </w:r>
      <w:r w:rsidRPr="00E55465">
        <w:rPr>
          <w:rFonts w:ascii="Albertus Extra Bold" w:hAnsi="Albertus Extra Bold"/>
          <w:b/>
          <w:color w:val="000000"/>
          <w:vertAlign w:val="superscript"/>
        </w:rPr>
        <w:t>3</w:t>
      </w:r>
    </w:p>
    <w:p w:rsidR="00A17D9B" w:rsidRDefault="00A17D9B" w:rsidP="00481F65"/>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spacing w:val="0"/>
        </w:rPr>
        <w:tab/>
      </w:r>
      <w:r w:rsidRPr="00621785">
        <w:rPr>
          <w:rFonts w:ascii="Albertus Extra Bold" w:hAnsi="Albertus Extra Bold"/>
          <w:b/>
          <w:spacing w:val="0"/>
          <w:vertAlign w:val="superscript"/>
        </w:rPr>
        <w:t>1</w:t>
      </w:r>
      <w:r w:rsidRPr="00621785">
        <w:rPr>
          <w:rFonts w:ascii="Albertus Extra Bold" w:hAnsi="Albertus Extra Bold"/>
          <w:b/>
          <w:spacing w:val="0"/>
        </w:rPr>
        <w:t>[</w:t>
      </w:r>
      <w:r w:rsidRPr="00621785">
        <w:rPr>
          <w:spacing w:val="0"/>
        </w:rPr>
        <w:t>4.  Unless otherwise permitted or required by law, a</w:t>
      </w:r>
      <w:r w:rsidRPr="00621785">
        <w:rPr>
          <w:rFonts w:ascii="Albertus Extra Bold" w:hAnsi="Albertus Extra Bold"/>
          <w:b/>
          <w:spacing w:val="0"/>
        </w:rPr>
        <w:t>]</w:t>
      </w:r>
      <w:r w:rsidRPr="00621785">
        <w:rPr>
          <w:spacing w:val="0"/>
        </w:rPr>
        <w:t xml:space="preserve"> </w:t>
      </w:r>
      <w:r w:rsidRPr="00621785">
        <w:rPr>
          <w:rFonts w:ascii="Albertus Extra Bold" w:hAnsi="Albertus Extra Bold"/>
          <w:b/>
          <w:vertAlign w:val="superscript"/>
        </w:rPr>
        <w:t>3</w:t>
      </w:r>
      <w:r w:rsidRPr="00621785">
        <w:rPr>
          <w:rFonts w:ascii="Albertus Extra Bold" w:hAnsi="Albertus Extra Bold"/>
          <w:b/>
        </w:rPr>
        <w:t>[</w:t>
      </w:r>
      <w:r w:rsidRPr="00621785">
        <w:rPr>
          <w:u w:val="single"/>
        </w:rPr>
        <w:t>5.</w:t>
      </w:r>
      <w:r w:rsidRPr="00621785">
        <w:rPr>
          <w:rFonts w:ascii="Albertus Extra Bold" w:hAnsi="Albertus Extra Bold"/>
          <w:b/>
        </w:rPr>
        <w:t>]</w:t>
      </w:r>
      <w:r w:rsidRPr="00621785">
        <w:rPr>
          <w:spacing w:val="0"/>
        </w:rPr>
        <w:t xml:space="preserve">  </w:t>
      </w:r>
      <w:r w:rsidRPr="00621785">
        <w:rPr>
          <w:spacing w:val="0"/>
          <w:u w:val="single"/>
        </w:rPr>
        <w:t>7.</w:t>
      </w:r>
      <w:r w:rsidRPr="00621785">
        <w:rPr>
          <w:rFonts w:ascii="Albertus Extra Bold" w:hAnsi="Albertus Extra Bold"/>
          <w:b/>
          <w:vertAlign w:val="superscript"/>
        </w:rPr>
        <w:t>3</w:t>
      </w:r>
      <w:r w:rsidRPr="00621785">
        <w:t xml:space="preserve">  </w:t>
      </w:r>
      <w:r w:rsidRPr="00621785">
        <w:rPr>
          <w:u w:val="single"/>
        </w:rPr>
        <w:t>a.  A</w:t>
      </w:r>
      <w:r w:rsidRPr="00621785">
        <w:rPr>
          <w:rFonts w:ascii="Albertus Extra Bold" w:hAnsi="Albertus Extra Bold"/>
          <w:b/>
          <w:vertAlign w:val="superscript"/>
        </w:rPr>
        <w:t>1</w:t>
      </w:r>
      <w:r w:rsidRPr="00621785">
        <w:t xml:space="preserve"> </w:t>
      </w:r>
      <w:r w:rsidRPr="00621785">
        <w:rPr>
          <w:spacing w:val="0"/>
        </w:rPr>
        <w:t xml:space="preserve">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621785">
        <w:rPr>
          <w:rFonts w:ascii="Albertus Extra Bold" w:hAnsi="Albertus Extra Bold"/>
          <w:b/>
          <w:spacing w:val="0"/>
          <w:vertAlign w:val="superscript"/>
        </w:rPr>
        <w:t>1</w:t>
      </w:r>
      <w:r w:rsidRPr="00621785">
        <w:rPr>
          <w:spacing w:val="0"/>
          <w:u w:val="single"/>
        </w:rPr>
        <w:t xml:space="preserve">, except for </w:t>
      </w:r>
      <w:r w:rsidRPr="00621785">
        <w:rPr>
          <w:color w:val="000000"/>
          <w:spacing w:val="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621785" w:rsidRPr="00621785" w:rsidRDefault="00621785" w:rsidP="00621785">
      <w:pPr>
        <w:rPr>
          <w:color w:val="000000"/>
          <w:u w:val="single"/>
        </w:rPr>
      </w:pPr>
      <w:r w:rsidRPr="00621785">
        <w:rPr>
          <w:color w:val="000000"/>
          <w:spacing w:val="0"/>
        </w:rPr>
        <w:tab/>
      </w:r>
      <w:r w:rsidRPr="00621785">
        <w:rPr>
          <w:color w:val="000000"/>
          <w:u w:val="single"/>
        </w:rPr>
        <w:t>b.</w:t>
      </w:r>
      <w:r w:rsidRPr="00621785">
        <w:rPr>
          <w:color w:val="000000"/>
        </w:rPr>
        <w:t xml:space="preserve">  </w:t>
      </w:r>
      <w:r w:rsidRPr="00621785">
        <w:rPr>
          <w:rFonts w:ascii="Albertus Extra Bold" w:hAnsi="Albertus Extra Bold"/>
          <w:b/>
          <w:color w:val="000000"/>
          <w:vertAlign w:val="superscript"/>
        </w:rPr>
        <w:t>3</w:t>
      </w:r>
      <w:r w:rsidRPr="00621785">
        <w:rPr>
          <w:color w:val="000000"/>
          <w:u w:val="single"/>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color w:val="000000"/>
        </w:rPr>
        <w:tab/>
      </w:r>
      <w:r w:rsidRPr="00621785">
        <w:rPr>
          <w:color w:val="000000"/>
          <w:u w:val="single"/>
        </w:rPr>
        <w:t>c.</w:t>
      </w:r>
      <w:r w:rsidRPr="00621785">
        <w:rPr>
          <w:rFonts w:ascii="Albertus Extra Bold" w:hAnsi="Albertus Extra Bold"/>
          <w:b/>
          <w:color w:val="000000"/>
          <w:vertAlign w:val="superscript"/>
        </w:rPr>
        <w:t>3</w:t>
      </w:r>
      <w:r w:rsidRPr="00621785">
        <w:rPr>
          <w:color w:val="000000"/>
        </w:rPr>
        <w:t xml:space="preserve"> </w:t>
      </w:r>
      <w:r w:rsidRPr="00621785">
        <w:rPr>
          <w:color w:val="000000"/>
          <w:spacing w:val="0"/>
          <w:u w:val="single"/>
        </w:rPr>
        <w:t xml:space="preserve"> Unless otherwise required by law, a housing provider shall not:</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621785">
        <w:rPr>
          <w:color w:val="000000"/>
          <w:spacing w:val="0"/>
        </w:rPr>
        <w:tab/>
      </w:r>
      <w:r w:rsidRPr="00621785">
        <w:rPr>
          <w:color w:val="000000"/>
          <w:spacing w:val="0"/>
          <w:u w:val="single"/>
        </w:rPr>
        <w:t>(1)  distribute or disseminate an applicant’s criminal record to any person who is not expected to use the criminal record for the purpose of evaluating the applicant in a manner consistent with</w:t>
      </w:r>
      <w:r w:rsidRPr="00621785">
        <w:rPr>
          <w:color w:val="000000"/>
          <w:spacing w:val="0"/>
        </w:rPr>
        <w:t xml:space="preserve"> </w:t>
      </w:r>
      <w:r w:rsidRPr="00621785">
        <w:rPr>
          <w:rFonts w:ascii="Albertus Extra Bold" w:hAnsi="Albertus Extra Bold"/>
          <w:b/>
          <w:color w:val="000000"/>
          <w:vertAlign w:val="superscript"/>
        </w:rPr>
        <w:t>3</w:t>
      </w:r>
      <w:r w:rsidRPr="00621785">
        <w:rPr>
          <w:rFonts w:ascii="Albertus Extra Bold" w:hAnsi="Albertus Extra Bold"/>
          <w:b/>
          <w:color w:val="000000"/>
        </w:rPr>
        <w:t>[</w:t>
      </w:r>
      <w:r w:rsidRPr="00621785">
        <w:rPr>
          <w:color w:val="000000"/>
          <w:spacing w:val="0"/>
          <w:u w:val="single"/>
        </w:rPr>
        <w:t>P.L.    , c.    (C.       ) (pending before the Legislature as this bill)</w:t>
      </w:r>
      <w:r w:rsidRPr="00621785">
        <w:rPr>
          <w:rFonts w:ascii="Albertus Extra Bold" w:hAnsi="Albertus Extra Bold"/>
          <w:b/>
        </w:rPr>
        <w:t>]</w:t>
      </w:r>
      <w:r w:rsidRPr="00621785">
        <w:rPr>
          <w:color w:val="000000"/>
          <w:spacing w:val="0"/>
        </w:rPr>
        <w:t xml:space="preserve"> </w:t>
      </w:r>
      <w:r w:rsidRPr="00621785">
        <w:rPr>
          <w:color w:val="000000"/>
          <w:spacing w:val="0"/>
          <w:u w:val="single"/>
        </w:rPr>
        <w:t>this act</w:t>
      </w:r>
      <w:r w:rsidRPr="00621785">
        <w:rPr>
          <w:rFonts w:ascii="Albertus Extra Bold" w:hAnsi="Albertus Extra Bold"/>
          <w:b/>
          <w:color w:val="000000"/>
          <w:vertAlign w:val="superscript"/>
        </w:rPr>
        <w:t xml:space="preserve">3 </w:t>
      </w:r>
      <w:r w:rsidRPr="00621785">
        <w:rPr>
          <w:color w:val="000000"/>
          <w:spacing w:val="0"/>
          <w:u w:val="single"/>
        </w:rPr>
        <w:t>; or</w:t>
      </w:r>
    </w:p>
    <w:p w:rsidR="00621785" w:rsidRPr="00621785" w:rsidRDefault="00621785" w:rsidP="006217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785">
        <w:rPr>
          <w:color w:val="000000"/>
          <w:spacing w:val="0"/>
        </w:rPr>
        <w:tab/>
      </w:r>
      <w:r w:rsidRPr="00621785">
        <w:rPr>
          <w:color w:val="000000"/>
          <w:spacing w:val="0"/>
          <w:u w:val="single"/>
        </w:rPr>
        <w:t xml:space="preserve">(2)  use an applicant’s criminal record for a purpose that is not consistent with </w:t>
      </w:r>
      <w:r w:rsidRPr="00621785">
        <w:rPr>
          <w:rFonts w:ascii="Albertus Extra Bold" w:hAnsi="Albertus Extra Bold"/>
          <w:b/>
          <w:color w:val="000000"/>
          <w:vertAlign w:val="superscript"/>
        </w:rPr>
        <w:t>3</w:t>
      </w:r>
      <w:r w:rsidRPr="00621785">
        <w:rPr>
          <w:rFonts w:ascii="Albertus Extra Bold" w:hAnsi="Albertus Extra Bold"/>
          <w:b/>
          <w:color w:val="000000"/>
        </w:rPr>
        <w:t>[</w:t>
      </w:r>
      <w:r w:rsidRPr="00621785">
        <w:rPr>
          <w:color w:val="000000"/>
          <w:spacing w:val="0"/>
          <w:u w:val="single"/>
        </w:rPr>
        <w:t>P.L.    , c.    (C.       ) (pending before the Legislature as this bill)</w:t>
      </w:r>
      <w:r w:rsidRPr="00621785">
        <w:rPr>
          <w:rFonts w:ascii="Albertus Extra Bold" w:hAnsi="Albertus Extra Bold"/>
          <w:b/>
          <w:color w:val="000000"/>
          <w:vertAlign w:val="superscript"/>
        </w:rPr>
        <w:t>1</w:t>
      </w:r>
      <w:r w:rsidRPr="00621785">
        <w:rPr>
          <w:rFonts w:ascii="Albertus Extra Bold" w:hAnsi="Albertus Extra Bold"/>
          <w:b/>
        </w:rPr>
        <w:t>]</w:t>
      </w:r>
      <w:r w:rsidRPr="00621785">
        <w:rPr>
          <w:color w:val="000000"/>
          <w:spacing w:val="0"/>
        </w:rPr>
        <w:t xml:space="preserve"> </w:t>
      </w:r>
      <w:r w:rsidRPr="00621785">
        <w:rPr>
          <w:color w:val="000000"/>
          <w:spacing w:val="0"/>
          <w:u w:val="single"/>
        </w:rPr>
        <w:t>this act</w:t>
      </w:r>
      <w:r w:rsidRPr="00621785">
        <w:rPr>
          <w:rFonts w:ascii="Albertus Extra Bold" w:hAnsi="Albertus Extra Bold"/>
          <w:b/>
          <w:color w:val="000000"/>
          <w:vertAlign w:val="superscript"/>
        </w:rPr>
        <w:t>3</w:t>
      </w:r>
      <w:r w:rsidRPr="00621785">
        <w:rPr>
          <w:spacing w:val="0"/>
        </w:rPr>
        <w:t>.</w:t>
      </w:r>
    </w:p>
    <w:p w:rsidR="00481F65" w:rsidRDefault="00481F65" w:rsidP="00481F65"/>
    <w:p w:rsidR="00481F65" w:rsidRDefault="00767A4A" w:rsidP="00481F65">
      <w:r>
        <w:tab/>
      </w:r>
      <w:r w:rsidR="00C3269E">
        <w:rPr>
          <w:rFonts w:ascii="Albertus Extra Bold" w:hAnsi="Albertus Extra Bold"/>
          <w:b/>
          <w:vertAlign w:val="superscript"/>
        </w:rPr>
        <w:t>1</w:t>
      </w:r>
      <w:r w:rsidR="00C3269E" w:rsidRPr="00C3269E">
        <w:rPr>
          <w:rFonts w:ascii="Albertus Extra Bold" w:hAnsi="Albertus Extra Bold"/>
          <w:b/>
        </w:rPr>
        <w:t>[</w:t>
      </w:r>
      <w:r w:rsidR="00C3269E">
        <w:t xml:space="preserve">5.  </w:t>
      </w:r>
      <w:r w:rsidR="00481F65">
        <w:t>This act shall not apply:</w:t>
      </w:r>
    </w:p>
    <w:p w:rsidR="00481F65" w:rsidRDefault="00767A4A" w:rsidP="00481F65">
      <w:r>
        <w:tab/>
        <w:t>a.</w:t>
      </w:r>
      <w:r>
        <w:tab/>
      </w:r>
      <w:r w:rsidR="00481F65">
        <w:t>If a federal law or regulation requires the housing provider to consider an applicant’s criminal records for residential leasing purposes; or</w:t>
      </w:r>
    </w:p>
    <w:p w:rsidR="00481F65" w:rsidRPr="00C3269E" w:rsidRDefault="00767A4A" w:rsidP="00481F65">
      <w:pPr>
        <w:rPr>
          <w:rFonts w:ascii="Albertus Extra Bold" w:hAnsi="Albertus Extra Bold"/>
          <w:b/>
          <w:vertAlign w:val="superscript"/>
        </w:rPr>
      </w:pPr>
      <w:r>
        <w:tab/>
        <w:t>b.</w:t>
      </w:r>
      <w:r>
        <w:tab/>
      </w:r>
      <w:r w:rsidR="00481F65">
        <w:t>If a federal law or regulation otherwise allows for the denial of an applicant due to</w:t>
      </w:r>
      <w:r w:rsidR="00C3269E">
        <w:t xml:space="preserve"> certain criminal convictions.</w:t>
      </w:r>
      <w:r w:rsidR="00C3269E" w:rsidRPr="00C3269E">
        <w:rPr>
          <w:rFonts w:ascii="Albertus Extra Bold" w:hAnsi="Albertus Extra Bold"/>
          <w:b/>
        </w:rPr>
        <w:t>]</w:t>
      </w:r>
      <w:r w:rsidR="00C3269E">
        <w:rPr>
          <w:rFonts w:ascii="Albertus Extra Bold" w:hAnsi="Albertus Extra Bold"/>
          <w:b/>
          <w:vertAlign w:val="superscript"/>
        </w:rPr>
        <w:t>1</w:t>
      </w:r>
    </w:p>
    <w:p w:rsidR="00481F65" w:rsidRDefault="00481F65" w:rsidP="00481F65"/>
    <w:p w:rsidR="00C908AF" w:rsidRPr="00017B02" w:rsidRDefault="00C908AF" w:rsidP="00C908AF">
      <w:pPr>
        <w:rPr>
          <w:u w:val="single"/>
        </w:rPr>
      </w:pPr>
      <w:r>
        <w:tab/>
      </w:r>
      <w:r w:rsidR="00C4425E">
        <w:rPr>
          <w:rFonts w:ascii="Albertus Extra Bold" w:hAnsi="Albertus Extra Bold"/>
          <w:b/>
          <w:vertAlign w:val="superscript"/>
        </w:rPr>
        <w:t>3</w:t>
      </w:r>
      <w:r w:rsidR="00C4425E" w:rsidRPr="00C4425E">
        <w:rPr>
          <w:rFonts w:ascii="Albertus Extra Bold" w:hAnsi="Albertus Extra Bold"/>
          <w:b/>
        </w:rPr>
        <w:t>[</w:t>
      </w:r>
      <w:r>
        <w:rPr>
          <w:rFonts w:ascii="Albertus Extra Bold" w:hAnsi="Albertus Extra Bold"/>
          <w:b/>
          <w:vertAlign w:val="superscript"/>
        </w:rPr>
        <w:t>1</w:t>
      </w:r>
      <w:r>
        <w:rPr>
          <w:u w:val="single"/>
        </w:rPr>
        <w:t xml:space="preserve">6.  a.  </w:t>
      </w:r>
      <w:r w:rsidRPr="00017B02">
        <w:rPr>
          <w:u w:val="single"/>
        </w:rPr>
        <w:t>To encourage residential landlords to provide housing opportunities to formerly</w:t>
      </w:r>
      <w:r>
        <w:rPr>
          <w:u w:val="single"/>
        </w:rPr>
        <w:t xml:space="preserve"> </w:t>
      </w:r>
      <w:r w:rsidRPr="00017B02">
        <w:rPr>
          <w:u w:val="single"/>
        </w:rPr>
        <w:t>incarcerated individuals, landlords subject to the provisions of this act 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 criminal background screening</w:t>
      </w:r>
      <w:r>
        <w:rPr>
          <w:u w:val="single"/>
        </w:rPr>
        <w:t>.</w:t>
      </w:r>
    </w:p>
    <w:p w:rsidR="0015724C" w:rsidRDefault="00C908AF" w:rsidP="00481F65">
      <w:r>
        <w:tab/>
      </w:r>
      <w:r w:rsidRPr="0044136C">
        <w:rPr>
          <w:u w:val="single"/>
        </w:rPr>
        <w:t xml:space="preserve">b. </w:t>
      </w:r>
      <w:r>
        <w:rPr>
          <w:u w:val="single"/>
        </w:rPr>
        <w:t xml:space="preserve"> </w:t>
      </w:r>
      <w:r w:rsidRPr="0044136C">
        <w:rPr>
          <w:u w:val="single"/>
        </w:rPr>
        <w:t>Notwithstanding the provisions of subsection a. of this section, immunity from liability shall not be conferred upon a landlord who, knowingly or unknowingly, rents an apartment to a person with a conviction for murder, aggravated sexual assault, kidnapping, arson, human trafficking, or any crime that resulted in lifetime registration in a state sex offender registry.</w:t>
      </w:r>
      <w:r>
        <w:rPr>
          <w:rFonts w:ascii="Albertus Extra Bold" w:hAnsi="Albertus Extra Bold"/>
          <w:b/>
          <w:vertAlign w:val="superscript"/>
        </w:rPr>
        <w:t>1</w:t>
      </w:r>
      <w:r w:rsidR="00C4425E" w:rsidRPr="00C4425E">
        <w:rPr>
          <w:rFonts w:ascii="Albertus Extra Bold" w:hAnsi="Albertus Extra Bold"/>
          <w:b/>
        </w:rPr>
        <w:t>]</w:t>
      </w:r>
      <w:r w:rsidR="00C4425E">
        <w:rPr>
          <w:rFonts w:ascii="Albertus Extra Bold" w:hAnsi="Albertus Extra Bold"/>
          <w:b/>
          <w:vertAlign w:val="superscript"/>
        </w:rPr>
        <w:t>3</w:t>
      </w:r>
    </w:p>
    <w:p w:rsidR="00C4425E" w:rsidRPr="00C4425E" w:rsidRDefault="00C4425E" w:rsidP="00481F65">
      <w:pPr>
        <w:rPr>
          <w:rFonts w:ascii="Albertus Extra Bold" w:hAnsi="Albertus Extra Bold"/>
          <w:b/>
          <w:vertAlign w:val="superscript"/>
        </w:rPr>
      </w:pPr>
    </w:p>
    <w:p w:rsidR="00FE78DE" w:rsidRPr="00017B02" w:rsidRDefault="00FE78DE" w:rsidP="00FE78DE">
      <w:pPr>
        <w:rPr>
          <w:u w:val="single"/>
        </w:rPr>
      </w:pPr>
      <w:r>
        <w:tab/>
      </w:r>
      <w:r>
        <w:rPr>
          <w:rFonts w:ascii="Albertus Extra Bold" w:hAnsi="Albertus Extra Bold"/>
          <w:b/>
          <w:vertAlign w:val="superscript"/>
        </w:rPr>
        <w:t>1</w:t>
      </w:r>
      <w:r w:rsidRPr="00017B02">
        <w:rPr>
          <w:rFonts w:ascii="Albertus Extra Bold" w:hAnsi="Albertus Extra Bold"/>
          <w:b/>
        </w:rPr>
        <w:t>[</w:t>
      </w:r>
      <w:r>
        <w:t xml:space="preserve">6.  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FE78DE" w:rsidRPr="00C4425E" w:rsidRDefault="00FE78DE" w:rsidP="00FE78DE">
      <w:pPr>
        <w:rPr>
          <w:rFonts w:ascii="Albertus Extra Bold" w:hAnsi="Albertus Extra Bold"/>
          <w:b/>
          <w:vertAlign w:val="superscript"/>
        </w:rPr>
      </w:pPr>
      <w:r>
        <w:tab/>
        <w:t>b.</w:t>
      </w:r>
      <w:r w:rsidRPr="0044136C">
        <w:rPr>
          <w:rFonts w:ascii="Albertus Extra Bold" w:hAnsi="Albertus Extra Bold"/>
          <w:b/>
        </w:rPr>
        <w:t>]</w:t>
      </w:r>
      <w:r>
        <w:t xml:space="preserve"> </w:t>
      </w:r>
      <w:r w:rsidR="00C4425E">
        <w:rPr>
          <w:rFonts w:ascii="Albertus Extra Bold" w:hAnsi="Albertus Extra Bold"/>
          <w:b/>
          <w:vertAlign w:val="superscript"/>
        </w:rPr>
        <w:t>3</w:t>
      </w:r>
      <w:r w:rsidR="00C4425E" w:rsidRPr="00C4425E">
        <w:rPr>
          <w:rFonts w:ascii="Albertus Extra Bold" w:hAnsi="Albertus Extra Bold"/>
          <w:b/>
        </w:rPr>
        <w:t>[</w:t>
      </w:r>
      <w:r>
        <w:rPr>
          <w:u w:val="single"/>
        </w:rPr>
        <w:t>7.</w:t>
      </w:r>
      <w:r>
        <w:rPr>
          <w:rFonts w:ascii="Albertus Extra Bold" w:hAnsi="Albertus Extra Bold"/>
          <w:b/>
          <w:vertAlign w:val="superscript"/>
        </w:rPr>
        <w:t>1</w:t>
      </w:r>
      <w:r>
        <w:t xml:space="preserve">  </w:t>
      </w:r>
      <w:r w:rsidRPr="002B5FAD">
        <w:t xml:space="preserve">Any </w:t>
      </w:r>
      <w:r>
        <w:t>housing provider</w:t>
      </w:r>
      <w:r w:rsidRPr="002B5FAD">
        <w:t xml:space="preserve"> who violates this act shall be liable for a civil penalty in an amount not to exceed </w:t>
      </w:r>
      <w:r>
        <w:rPr>
          <w:rFonts w:ascii="Albertus Extra Bold" w:hAnsi="Albertus Extra Bold"/>
          <w:b/>
          <w:vertAlign w:val="superscript"/>
        </w:rPr>
        <w:t>1</w:t>
      </w:r>
      <w:r w:rsidRPr="0044136C">
        <w:rPr>
          <w:rFonts w:ascii="Albertus Extra Bold" w:hAnsi="Albertus Extra Bold"/>
          <w:b/>
        </w:rPr>
        <w:t>[</w:t>
      </w:r>
      <w:r w:rsidRPr="002B5FAD">
        <w:t>$1,000</w:t>
      </w:r>
      <w:r w:rsidRPr="0044136C">
        <w:rPr>
          <w:rFonts w:ascii="Albertus Extra Bold" w:hAnsi="Albertus Extra Bold"/>
          <w:b/>
        </w:rPr>
        <w:t>]</w:t>
      </w:r>
      <w:r w:rsidRPr="002B5FAD">
        <w:t xml:space="preserve"> </w:t>
      </w:r>
      <w:r>
        <w:rPr>
          <w:u w:val="single"/>
        </w:rPr>
        <w:t>$100</w:t>
      </w:r>
      <w:r>
        <w:rPr>
          <w:rFonts w:ascii="Albertus Extra Bold" w:hAnsi="Albertus Extra Bold"/>
          <w:b/>
          <w:vertAlign w:val="superscript"/>
        </w:rPr>
        <w:t>1</w:t>
      </w:r>
      <w:r>
        <w:t xml:space="preserve"> </w:t>
      </w:r>
      <w:r w:rsidRPr="002B5FAD">
        <w:t xml:space="preserve">for the first violation, </w:t>
      </w:r>
      <w:r>
        <w:rPr>
          <w:rFonts w:ascii="Albertus Extra Bold" w:hAnsi="Albertus Extra Bold"/>
          <w:b/>
          <w:vertAlign w:val="superscript"/>
        </w:rPr>
        <w:t>1</w:t>
      </w:r>
      <w:r w:rsidRPr="0044136C">
        <w:rPr>
          <w:rFonts w:ascii="Albertus Extra Bold" w:hAnsi="Albertus Extra Bold"/>
          <w:b/>
        </w:rPr>
        <w:t>[</w:t>
      </w:r>
      <w:r w:rsidRPr="002B5FAD">
        <w:t>$5,000</w:t>
      </w:r>
      <w:r w:rsidRPr="0044136C">
        <w:rPr>
          <w:rFonts w:ascii="Albertus Extra Bold" w:hAnsi="Albertus Extra Bold"/>
          <w:b/>
        </w:rPr>
        <w:t>]</w:t>
      </w:r>
      <w:r w:rsidRPr="002B5FAD">
        <w:t xml:space="preserve"> </w:t>
      </w:r>
      <w:r>
        <w:rPr>
          <w:u w:val="single"/>
        </w:rPr>
        <w:t>$500</w:t>
      </w:r>
      <w:r>
        <w:rPr>
          <w:rFonts w:ascii="Albertus Extra Bold" w:hAnsi="Albertus Extra Bold"/>
          <w:b/>
          <w:vertAlign w:val="superscript"/>
        </w:rPr>
        <w:t>1</w:t>
      </w:r>
      <w:r>
        <w:t xml:space="preserve"> </w:t>
      </w:r>
      <w:r w:rsidRPr="002B5FAD">
        <w:t xml:space="preserve">for the second violation, and </w:t>
      </w:r>
      <w:r>
        <w:rPr>
          <w:rFonts w:ascii="Albertus Extra Bold" w:hAnsi="Albertus Extra Bold"/>
          <w:b/>
          <w:vertAlign w:val="superscript"/>
        </w:rPr>
        <w:t>1</w:t>
      </w:r>
      <w:r w:rsidRPr="0044136C">
        <w:rPr>
          <w:rFonts w:ascii="Albertus Extra Bold" w:hAnsi="Albertus Extra Bold"/>
          <w:b/>
        </w:rPr>
        <w:t>[</w:t>
      </w:r>
      <w:r w:rsidRPr="002B5FAD">
        <w:t>$1</w:t>
      </w:r>
      <w:r>
        <w:t>0</w:t>
      </w:r>
      <w:r w:rsidRPr="002B5FAD">
        <w:t>,000</w:t>
      </w:r>
      <w:r w:rsidRPr="0044136C">
        <w:rPr>
          <w:rFonts w:ascii="Albertus Extra Bold" w:hAnsi="Albertus Extra Bold"/>
          <w:b/>
        </w:rPr>
        <w:t>]</w:t>
      </w:r>
      <w:r w:rsidRPr="002B5FAD">
        <w:t xml:space="preserve"> </w:t>
      </w:r>
      <w:r>
        <w:rPr>
          <w:u w:val="single"/>
        </w:rPr>
        <w:t>$1,000</w:t>
      </w:r>
      <w:r>
        <w:rPr>
          <w:rFonts w:ascii="Albertus Extra Bold" w:hAnsi="Albertus Extra Bold"/>
          <w:b/>
          <w:vertAlign w:val="superscript"/>
        </w:rPr>
        <w:t>1</w:t>
      </w:r>
      <w:r w:rsidRPr="002B5FAD">
        <w:t xml:space="preserve"> for each subsequent violation collectible by the </w:t>
      </w:r>
      <w:r>
        <w:t>Attorney General</w:t>
      </w:r>
      <w:r w:rsidRPr="002B5FAD">
        <w:t xml:space="preserve"> in a summary proceeding pursuant to the “Penalty Enforcement Law of 1999,” P.L.1999, c.274 (C.2A:58-10 et seq.).</w:t>
      </w:r>
      <w:r w:rsidR="00C4425E" w:rsidRPr="00C4425E">
        <w:rPr>
          <w:rFonts w:ascii="Albertus Extra Bold" w:hAnsi="Albertus Extra Bold"/>
          <w:b/>
        </w:rPr>
        <w:t>]</w:t>
      </w:r>
      <w:r w:rsidR="00C4425E">
        <w:rPr>
          <w:rFonts w:ascii="Albertus Extra Bold" w:hAnsi="Albertus Extra Bold"/>
          <w:b/>
          <w:vertAlign w:val="superscript"/>
        </w:rPr>
        <w:t>3</w:t>
      </w:r>
    </w:p>
    <w:p w:rsidR="00767A4A" w:rsidRDefault="00767A4A" w:rsidP="00C61AC8"/>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12F98">
        <w:rPr>
          <w:spacing w:val="0"/>
        </w:rPr>
        <w:tab/>
      </w:r>
      <w:r w:rsidRPr="00D12F98">
        <w:rPr>
          <w:rFonts w:ascii="Albertus Extra Bold" w:hAnsi="Albertus Extra Bold"/>
          <w:b/>
          <w:vertAlign w:val="superscript"/>
        </w:rPr>
        <w:t>3</w:t>
      </w:r>
      <w:r w:rsidRPr="00D12F98">
        <w:rPr>
          <w:spacing w:val="0"/>
          <w:u w:val="single"/>
        </w:rPr>
        <w:t xml:space="preserve">8.  To encourage residential landlords to provide housing opportunities to formerly incarcerated individuals, landlords subject to the provisions of </w:t>
      </w:r>
      <w:r w:rsidRPr="00D12F98">
        <w:rPr>
          <w:color w:val="000000"/>
          <w:u w:val="single"/>
        </w:rPr>
        <w:t>this act</w:t>
      </w:r>
      <w:r w:rsidRPr="00D12F98">
        <w:rPr>
          <w:spacing w:val="0"/>
          <w:u w:val="single"/>
        </w:rPr>
        <w:t xml:space="preserve"> shall be immune from liability in any civil action arising as a result of the landlord’s decision to rent to individuals with a criminal record or who were otherwise convicted of a criminal offense, or as a result of a landlord’s decision to not engage in a criminal background screening.</w:t>
      </w:r>
      <w:r w:rsidRPr="00D12F98">
        <w:rPr>
          <w:rFonts w:ascii="Albertus Extra Bold" w:hAnsi="Albertus Extra Bold"/>
          <w:b/>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D12F98">
        <w:rPr>
          <w:spacing w:val="0"/>
        </w:rPr>
        <w:tab/>
      </w:r>
      <w:r w:rsidRPr="00D12F98">
        <w:rPr>
          <w:rFonts w:ascii="Albertus Extra Bold" w:hAnsi="Albertus Extra Bold"/>
          <w:b/>
          <w:spacing w:val="0"/>
          <w:vertAlign w:val="superscript"/>
        </w:rPr>
        <w:t>3</w:t>
      </w:r>
      <w:r w:rsidRPr="00D12F98">
        <w:rPr>
          <w:spacing w:val="0"/>
          <w:u w:val="single"/>
        </w:rPr>
        <w:t>9.  A housing provider shall not require an applicant to submit to a drug or alcohol test, or request the applicant’s consent to obtain information from a drug abuse treatment facility.</w:t>
      </w:r>
      <w:r w:rsidRPr="00D12F98">
        <w:rPr>
          <w:rFonts w:ascii="Albertus Extra Bold" w:hAnsi="Albertus Extra Bold"/>
          <w:b/>
          <w:spacing w:val="0"/>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2F98">
        <w:rPr>
          <w:spacing w:val="0"/>
        </w:rPr>
        <w:tab/>
      </w:r>
      <w:r w:rsidRPr="00D12F98">
        <w:rPr>
          <w:rFonts w:ascii="Albertus Extra Bold" w:hAnsi="Albertus Extra Bold"/>
          <w:b/>
          <w:spacing w:val="0"/>
          <w:vertAlign w:val="superscript"/>
        </w:rPr>
        <w:t>3</w:t>
      </w:r>
      <w:r w:rsidRPr="00D12F98">
        <w:rPr>
          <w:spacing w:val="0"/>
          <w:u w:val="single"/>
        </w:rPr>
        <w:t>10.  A person shall not interfere with, restrain, or deny the exercise of, or the attempt to exercise, any right protected under this act.  It shall be a rebuttable presumption of unlawful retaliation if a housing provider or any other person takes an adverse action against a person within 90 days of the person’s exercise of the rights protected by this act.  This rebuttable presumption shall be sufficient to establish unlawful retaliation, unless the housing provider or other person is able to demonstrate that the action would have been taken in the absence of such protected activity.</w:t>
      </w:r>
      <w:r w:rsidRPr="00D12F98">
        <w:rPr>
          <w:rFonts w:ascii="Albertus Extra Bold" w:hAnsi="Albertus Extra Bold"/>
          <w:b/>
          <w:spacing w:val="0"/>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2F98">
        <w:rPr>
          <w:spacing w:val="0"/>
        </w:rPr>
        <w:tab/>
      </w:r>
      <w:r w:rsidRPr="00D12F98">
        <w:rPr>
          <w:rFonts w:ascii="Albertus Extra Bold" w:hAnsi="Albertus Extra Bold"/>
          <w:b/>
          <w:vertAlign w:val="superscript"/>
        </w:rPr>
        <w:t>3</w:t>
      </w:r>
      <w:r w:rsidRPr="00D12F98">
        <w:rPr>
          <w:spacing w:val="0"/>
          <w:u w:val="single"/>
        </w:rPr>
        <w:t>11.  The division shall maintain data on the number of complaints filed pursuant to this act, demographic information on the complainants, the identity of the housing providers, the number of investigations conducted, and the disposition of every complaint and investigation.  The division shall annually publish and post on the division’s Internet website, information on substantiated complaints that have resulted in the issuance of a monetary penalty pursuant to section 12 of this act.</w:t>
      </w:r>
      <w:r w:rsidRPr="00D12F98">
        <w:rPr>
          <w:rFonts w:ascii="Albertus Extra Bold" w:hAnsi="Albertus Extra Bold"/>
          <w:b/>
          <w:spacing w:val="0"/>
          <w:vertAlign w:val="superscript"/>
        </w:rPr>
        <w:t>3</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rFonts w:ascii="Albertus Extra Bold" w:hAnsi="Albertus Extra Bold"/>
          <w:b/>
          <w:vertAlign w:val="superscript"/>
        </w:rPr>
        <w:t>3</w:t>
      </w:r>
      <w:r w:rsidRPr="00D12F98">
        <w:rPr>
          <w:spacing w:val="0"/>
          <w:u w:val="single"/>
        </w:rPr>
        <w:t xml:space="preserve">12.  a.  An action that alleges a violation of this act shall not be initiated by an applicant in court.  If an applicant believes that a housing provider has violated a provision of this act with respect to the applicant, that applicant may file a complaint with the division.  If the division determines that the complaint is substantiated, the director shall issue a monetary penalty against the housing provider.  A housing provider may appeal a penalty issued pursuant to this section in a court of competent jurisdiction.  A complainant may appeal, in a court of competent jurisdiction, a finding by the director following an investigation that the complaint is not substantiated, but the complainant may not appeal a decision by the director not to investigate a complaint.  </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spacing w:val="0"/>
          <w:u w:val="single"/>
        </w:rPr>
        <w:t>b.  A housing provider who violates a provision of this act shall be liable for the following applicable penalties:</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spacing w:val="0"/>
          <w:u w:val="single"/>
        </w:rPr>
        <w:t>(1)  an amount not to exceed $1,000 if the housing provider has not committed any prior violation within the five-year period ending on the date of the filing of the charge;</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spacing w:val="0"/>
          <w:u w:val="single"/>
        </w:rPr>
        <w:t>(2)  an amount not to exceed $5,000 if the housing provider has committed one other violation within the five-year period ending on the date of the filing of the charge; and</w:t>
      </w:r>
    </w:p>
    <w:p w:rsidR="00D12F98" w:rsidRPr="00D12F98" w:rsidRDefault="00D12F98" w:rsidP="00D12F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spacing w:val="0"/>
          <w:u w:val="single"/>
        </w:rPr>
        <w:t>(3)  an amount not to exceed $10,000 if the housing provider has committed two or more other violations within the seven-year period ending on the date of the filing of the charge.</w:t>
      </w:r>
    </w:p>
    <w:p w:rsidR="00D12F98" w:rsidRPr="00A61AD4" w:rsidRDefault="00D12F98" w:rsidP="00A61A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2F98">
        <w:rPr>
          <w:spacing w:val="0"/>
        </w:rPr>
        <w:tab/>
      </w:r>
      <w:r w:rsidRPr="00D12F98">
        <w:rPr>
          <w:spacing w:val="0"/>
          <w:u w:val="single"/>
        </w:rPr>
        <w:t>c.  Nothing herein contained shall bar, exclude or otherwise affect any right or action which may exist independently of any right or action created herein, including but not limited to any right or action under P.L.1945, c.169 (N.J.S.A. 10:5-1 et seq.).</w:t>
      </w:r>
      <w:r w:rsidRPr="00D12F98">
        <w:rPr>
          <w:rFonts w:ascii="Albertus Extra Bold" w:hAnsi="Albertus Extra Bold"/>
          <w:b/>
          <w:vertAlign w:val="superscript"/>
        </w:rPr>
        <w:t>3</w:t>
      </w:r>
    </w:p>
    <w:p w:rsidR="00D12F98" w:rsidRDefault="00D12F98" w:rsidP="00C61AC8"/>
    <w:p w:rsidR="00030E8B" w:rsidRPr="00030E8B" w:rsidRDefault="00030E8B" w:rsidP="00030E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0E8B">
        <w:rPr>
          <w:spacing w:val="0"/>
        </w:rPr>
        <w:tab/>
      </w:r>
      <w:r w:rsidRPr="00030E8B">
        <w:rPr>
          <w:rFonts w:ascii="Albertus Extra Bold" w:hAnsi="Albertus Extra Bold"/>
          <w:b/>
          <w:spacing w:val="0"/>
          <w:vertAlign w:val="superscript"/>
        </w:rPr>
        <w:t>1</w:t>
      </w:r>
      <w:r w:rsidRPr="00030E8B">
        <w:rPr>
          <w:rFonts w:ascii="Albertus Extra Bold" w:hAnsi="Albertus Extra Bold"/>
          <w:b/>
          <w:spacing w:val="0"/>
        </w:rPr>
        <w:t>[</w:t>
      </w:r>
      <w:r w:rsidRPr="00030E8B">
        <w:rPr>
          <w:spacing w:val="0"/>
        </w:rPr>
        <w:t>7.</w:t>
      </w:r>
      <w:r w:rsidRPr="00030E8B">
        <w:rPr>
          <w:rFonts w:ascii="Albertus Extra Bold" w:hAnsi="Albertus Extra Bold"/>
          <w:b/>
          <w:spacing w:val="0"/>
        </w:rPr>
        <w:t>]</w:t>
      </w:r>
      <w:r w:rsidRPr="00030E8B">
        <w:rPr>
          <w:spacing w:val="0"/>
        </w:rPr>
        <w:t xml:space="preserve"> </w:t>
      </w:r>
      <w:r w:rsidRPr="00030E8B">
        <w:rPr>
          <w:rFonts w:ascii="Albertus Extra Bold" w:hAnsi="Albertus Extra Bold"/>
          <w:b/>
          <w:vertAlign w:val="superscript"/>
        </w:rPr>
        <w:t>3</w:t>
      </w:r>
      <w:r w:rsidRPr="00030E8B">
        <w:rPr>
          <w:rFonts w:ascii="Albertus Extra Bold" w:hAnsi="Albertus Extra Bold"/>
          <w:b/>
        </w:rPr>
        <w:t>[</w:t>
      </w:r>
      <w:r w:rsidRPr="00030E8B">
        <w:rPr>
          <w:spacing w:val="0"/>
          <w:u w:val="single"/>
        </w:rPr>
        <w:t>8.</w:t>
      </w:r>
      <w:r w:rsidRPr="00030E8B">
        <w:rPr>
          <w:rFonts w:ascii="Albertus Extra Bold" w:hAnsi="Albertus Extra Bold"/>
          <w:b/>
          <w:spacing w:val="0"/>
          <w:vertAlign w:val="superscript"/>
        </w:rPr>
        <w:t>1</w:t>
      </w:r>
      <w:r w:rsidRPr="00030E8B">
        <w:rPr>
          <w:rFonts w:ascii="Albertus Extra Bold" w:hAnsi="Albertus Extra Bold"/>
          <w:b/>
        </w:rPr>
        <w:t>]</w:t>
      </w:r>
      <w:r w:rsidRPr="00030E8B">
        <w:rPr>
          <w:spacing w:val="0"/>
        </w:rPr>
        <w:t xml:space="preserve"> </w:t>
      </w:r>
      <w:r w:rsidRPr="00030E8B">
        <w:rPr>
          <w:spacing w:val="0"/>
          <w:u w:val="single"/>
        </w:rPr>
        <w:t>13.</w:t>
      </w:r>
      <w:r w:rsidRPr="00030E8B">
        <w:rPr>
          <w:rFonts w:ascii="Albertus Extra Bold" w:hAnsi="Albertus Extra Bold"/>
          <w:b/>
          <w:vertAlign w:val="superscript"/>
        </w:rPr>
        <w:t>3</w:t>
      </w:r>
      <w:r w:rsidRPr="00030E8B">
        <w:rPr>
          <w:spacing w:val="0"/>
        </w:rPr>
        <w:t xml:space="preserve">  In accordance with the "Administrative Procedure Act," P.L.1968, c.410 (C.52:14B-1 et seq.), the </w:t>
      </w:r>
      <w:r w:rsidRPr="00030E8B">
        <w:rPr>
          <w:rFonts w:ascii="Albertus Extra Bold" w:hAnsi="Albertus Extra Bold"/>
          <w:b/>
          <w:spacing w:val="0"/>
          <w:vertAlign w:val="superscript"/>
        </w:rPr>
        <w:t>1</w:t>
      </w:r>
      <w:r w:rsidRPr="00030E8B">
        <w:rPr>
          <w:rFonts w:ascii="Albertus Extra Bold" w:hAnsi="Albertus Extra Bold"/>
          <w:b/>
          <w:spacing w:val="0"/>
        </w:rPr>
        <w:t>[</w:t>
      </w:r>
      <w:r w:rsidRPr="00030E8B">
        <w:rPr>
          <w:spacing w:val="0"/>
        </w:rPr>
        <w:t>Attorney General</w:t>
      </w:r>
      <w:r w:rsidRPr="00030E8B">
        <w:rPr>
          <w:rFonts w:ascii="Albertus Extra Bold" w:hAnsi="Albertus Extra Bold"/>
          <w:b/>
          <w:spacing w:val="0"/>
        </w:rPr>
        <w:t>]</w:t>
      </w:r>
      <w:r w:rsidRPr="00030E8B">
        <w:rPr>
          <w:spacing w:val="0"/>
        </w:rPr>
        <w:t xml:space="preserve"> </w:t>
      </w:r>
      <w:r w:rsidRPr="00030E8B">
        <w:rPr>
          <w:rFonts w:ascii="Albertus Extra Bold" w:hAnsi="Albertus Extra Bold"/>
          <w:b/>
          <w:vertAlign w:val="superscript"/>
        </w:rPr>
        <w:t>3</w:t>
      </w:r>
      <w:r w:rsidRPr="00030E8B">
        <w:rPr>
          <w:rFonts w:ascii="Albertus Extra Bold" w:hAnsi="Albertus Extra Bold"/>
          <w:b/>
        </w:rPr>
        <w:t>[</w:t>
      </w:r>
      <w:r w:rsidRPr="00030E8B">
        <w:rPr>
          <w:spacing w:val="0"/>
          <w:u w:val="single"/>
        </w:rPr>
        <w:t>Commissioner of Community Affairs</w:t>
      </w:r>
      <w:r w:rsidRPr="00030E8B">
        <w:rPr>
          <w:rFonts w:ascii="Albertus Extra Bold" w:hAnsi="Albertus Extra Bold"/>
          <w:b/>
          <w:spacing w:val="0"/>
          <w:vertAlign w:val="superscript"/>
        </w:rPr>
        <w:t>1</w:t>
      </w:r>
      <w:r w:rsidRPr="00030E8B">
        <w:rPr>
          <w:spacing w:val="0"/>
        </w:rPr>
        <w:t xml:space="preserve"> may</w:t>
      </w:r>
      <w:r w:rsidRPr="00030E8B">
        <w:rPr>
          <w:rFonts w:ascii="Albertus Extra Bold" w:hAnsi="Albertus Extra Bold"/>
          <w:b/>
        </w:rPr>
        <w:t>]</w:t>
      </w:r>
      <w:r w:rsidRPr="00030E8B">
        <w:rPr>
          <w:spacing w:val="0"/>
        </w:rPr>
        <w:t xml:space="preserve"> </w:t>
      </w:r>
      <w:r w:rsidRPr="00030E8B">
        <w:rPr>
          <w:spacing w:val="0"/>
          <w:u w:val="single"/>
        </w:rPr>
        <w:t>director shall</w:t>
      </w:r>
      <w:r w:rsidRPr="00030E8B">
        <w:rPr>
          <w:rFonts w:ascii="Albertus Extra Bold" w:hAnsi="Albertus Extra Bold"/>
          <w:b/>
          <w:vertAlign w:val="superscript"/>
        </w:rPr>
        <w:t>3</w:t>
      </w:r>
      <w:r w:rsidRPr="00030E8B">
        <w:rPr>
          <w:spacing w:val="0"/>
        </w:rPr>
        <w:t xml:space="preserve"> adopt the rules and regulations necessary to effectuate the purposes of this act </w:t>
      </w:r>
      <w:r w:rsidRPr="00030E8B">
        <w:rPr>
          <w:rFonts w:ascii="Albertus Extra Bold" w:hAnsi="Albertus Extra Bold"/>
          <w:b/>
          <w:color w:val="000000"/>
          <w:vertAlign w:val="superscript"/>
        </w:rPr>
        <w:t>3</w:t>
      </w:r>
      <w:r w:rsidRPr="00030E8B">
        <w:rPr>
          <w:spacing w:val="0"/>
          <w:u w:val="single"/>
        </w:rPr>
        <w:t>on or before the first day of the fifth month next following enactment</w:t>
      </w:r>
      <w:r w:rsidRPr="00030E8B">
        <w:rPr>
          <w:rFonts w:ascii="Albertus Extra Bold" w:hAnsi="Albertus Extra Bold"/>
          <w:b/>
          <w:spacing w:val="0"/>
          <w:vertAlign w:val="superscript"/>
        </w:rPr>
        <w:t>3</w:t>
      </w:r>
      <w:r w:rsidRPr="00030E8B">
        <w:rPr>
          <w:spacing w:val="0"/>
        </w:rPr>
        <w:t xml:space="preserve">.  </w:t>
      </w:r>
    </w:p>
    <w:p w:rsidR="00481F65" w:rsidRDefault="00481F65" w:rsidP="00481F65"/>
    <w:p w:rsidR="00AF3B10" w:rsidRPr="00AF3B10" w:rsidRDefault="00AF3B10" w:rsidP="00481F65">
      <w:pPr>
        <w:rPr>
          <w:spacing w:val="0"/>
        </w:rPr>
      </w:pPr>
      <w:r w:rsidRPr="005A6A38">
        <w:tab/>
      </w:r>
      <w:r w:rsidRPr="005A6A38">
        <w:rPr>
          <w:rFonts w:ascii="Albertus Extra Bold" w:hAnsi="Albertus Extra Bold"/>
          <w:b/>
          <w:vertAlign w:val="superscript"/>
        </w:rPr>
        <w:t>1</w:t>
      </w:r>
      <w:r w:rsidRPr="005A6A38">
        <w:rPr>
          <w:rFonts w:ascii="Albertus Extra Bold" w:hAnsi="Albertus Extra Bold"/>
          <w:b/>
        </w:rPr>
        <w:t>[</w:t>
      </w:r>
      <w:r w:rsidRPr="005A6A38">
        <w:t>8.</w:t>
      </w:r>
      <w:r w:rsidRPr="005A6A38">
        <w:rPr>
          <w:rFonts w:ascii="Albertus Extra Bold" w:hAnsi="Albertus Extra Bold"/>
          <w:b/>
        </w:rPr>
        <w:t>]</w:t>
      </w:r>
      <w:r w:rsidRPr="005A6A38">
        <w:t xml:space="preserve"> </w:t>
      </w:r>
      <w:r w:rsidRPr="005A6A38">
        <w:rPr>
          <w:rFonts w:ascii="Albertus Extra Bold" w:hAnsi="Albertus Extra Bold"/>
          <w:b/>
          <w:vertAlign w:val="superscript"/>
        </w:rPr>
        <w:t>3</w:t>
      </w:r>
      <w:r w:rsidRPr="005A6A38">
        <w:rPr>
          <w:rFonts w:ascii="Albertus Extra Bold" w:hAnsi="Albertus Extra Bold"/>
          <w:b/>
        </w:rPr>
        <w:t>[</w:t>
      </w:r>
      <w:r w:rsidRPr="005A6A38">
        <w:rPr>
          <w:u w:val="single"/>
        </w:rPr>
        <w:t>9.</w:t>
      </w:r>
      <w:r w:rsidRPr="005A6A38">
        <w:rPr>
          <w:rFonts w:ascii="Albertus Extra Bold" w:hAnsi="Albertus Extra Bold"/>
          <w:b/>
          <w:vertAlign w:val="superscript"/>
        </w:rPr>
        <w:t>1</w:t>
      </w:r>
      <w:r w:rsidRPr="005A6A38">
        <w:rPr>
          <w:rFonts w:ascii="Albertus Extra Bold" w:hAnsi="Albertus Extra Bold"/>
          <w:b/>
        </w:rPr>
        <w:t>]</w:t>
      </w:r>
      <w:r w:rsidRPr="005A6A38">
        <w:t xml:space="preserve"> </w:t>
      </w:r>
      <w:r w:rsidRPr="005A6A38">
        <w:rPr>
          <w:u w:val="single"/>
        </w:rPr>
        <w:t>14.</w:t>
      </w:r>
      <w:r w:rsidRPr="005A6A38">
        <w:rPr>
          <w:rFonts w:ascii="Albertus Extra Bold" w:hAnsi="Albertus Extra Bold"/>
          <w:b/>
          <w:vertAlign w:val="superscript"/>
        </w:rPr>
        <w:t>3</w:t>
      </w:r>
      <w:r w:rsidRPr="005A6A38">
        <w:t xml:space="preserve">  This act shall take effect on the first day of the </w:t>
      </w:r>
      <w:r w:rsidRPr="005A6A38">
        <w:rPr>
          <w:color w:val="000000"/>
        </w:rPr>
        <w:t xml:space="preserve">seventh month next following the date of enactment, but the </w:t>
      </w:r>
      <w:r w:rsidRPr="005A6A38">
        <w:rPr>
          <w:rFonts w:ascii="Albertus Extra Bold" w:hAnsi="Albertus Extra Bold"/>
          <w:b/>
          <w:vertAlign w:val="superscript"/>
        </w:rPr>
        <w:t>1</w:t>
      </w:r>
      <w:r w:rsidRPr="005A6A38">
        <w:rPr>
          <w:rFonts w:ascii="Albertus Extra Bold" w:hAnsi="Albertus Extra Bold"/>
          <w:b/>
        </w:rPr>
        <w:t>[</w:t>
      </w:r>
      <w:r w:rsidRPr="005A6A38">
        <w:t>Attorney General</w:t>
      </w:r>
      <w:r w:rsidRPr="005A6A38">
        <w:rPr>
          <w:rFonts w:ascii="Albertus Extra Bold" w:hAnsi="Albertus Extra Bold"/>
          <w:b/>
        </w:rPr>
        <w:t>]</w:t>
      </w:r>
      <w:r w:rsidRPr="005A6A38">
        <w:t xml:space="preserve"> </w:t>
      </w:r>
      <w:r w:rsidRPr="005A6A38">
        <w:rPr>
          <w:rFonts w:ascii="Albertus Extra Bold" w:hAnsi="Albertus Extra Bold"/>
          <w:b/>
          <w:vertAlign w:val="superscript"/>
        </w:rPr>
        <w:t>3</w:t>
      </w:r>
      <w:r w:rsidRPr="005A6A38">
        <w:rPr>
          <w:rFonts w:ascii="Albertus Extra Bold" w:hAnsi="Albertus Extra Bold"/>
          <w:b/>
        </w:rPr>
        <w:t>[</w:t>
      </w:r>
      <w:r w:rsidRPr="005A6A38">
        <w:rPr>
          <w:u w:val="single"/>
        </w:rPr>
        <w:t>Commissioner of Community Affairs</w:t>
      </w:r>
      <w:r w:rsidRPr="005A6A38">
        <w:rPr>
          <w:rFonts w:ascii="Albertus Extra Bold" w:hAnsi="Albertus Extra Bold"/>
          <w:b/>
          <w:vertAlign w:val="superscript"/>
        </w:rPr>
        <w:t>1</w:t>
      </w:r>
      <w:r w:rsidRPr="005A6A38">
        <w:rPr>
          <w:rFonts w:ascii="Albertus Extra Bold" w:hAnsi="Albertus Extra Bold"/>
          <w:b/>
        </w:rPr>
        <w:t>]</w:t>
      </w:r>
      <w:r w:rsidRPr="00AF3B10">
        <w:rPr>
          <w:spacing w:val="0"/>
          <w:u w:val="single"/>
        </w:rPr>
        <w:t xml:space="preserve"> divison</w:t>
      </w:r>
      <w:r w:rsidRPr="00AF3B10">
        <w:rPr>
          <w:rFonts w:ascii="Albertus Extra Bold" w:hAnsi="Albertus Extra Bold"/>
          <w:b/>
          <w:vertAlign w:val="superscript"/>
        </w:rPr>
        <w:t>3</w:t>
      </w:r>
      <w:r w:rsidRPr="00AF3B10">
        <w:rPr>
          <w:color w:val="000000"/>
          <w:spacing w:val="0"/>
        </w:rPr>
        <w:t xml:space="preserve"> may take any anticipatory administrative action in advance as shall be necessary for the implementation of this act.</w:t>
      </w:r>
    </w:p>
    <w:sectPr w:rsidR="00AF3B10" w:rsidRPr="00AF3B10" w:rsidSect="001F39DA">
      <w:headerReference w:type="default" r:id="rId14"/>
      <w:footerReference w:type="default" r:id="rId15"/>
      <w:headerReference w:type="first" r:id="rId16"/>
      <w:footerReference w:type="first" r:id="rId17"/>
      <w:pgSz w:w="12240" w:h="20160" w:code="5"/>
      <w:pgMar w:top="1440" w:right="2520" w:bottom="1728"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02" w:rsidRDefault="003E7A02">
      <w:r>
        <w:separator/>
      </w:r>
    </w:p>
  </w:endnote>
  <w:endnote w:type="continuationSeparator" w:id="0">
    <w:p w:rsidR="003E7A02" w:rsidRDefault="003E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8" w:rsidRDefault="00651F05" w:rsidP="00651F05">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A4A" w:rsidRPr="00921C91" w:rsidRDefault="00767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A4A" w:rsidRPr="00921C91" w:rsidRDefault="00767A4A">
    <w:pPr>
      <w:pStyle w:val="Footer"/>
      <w:rPr>
        <w:szCs w:val="18"/>
      </w:rPr>
    </w:pPr>
  </w:p>
  <w:p w:rsidR="00767A4A" w:rsidRPr="00921C91" w:rsidRDefault="00767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A4A" w:rsidRDefault="00767A4A">
    <w:pPr>
      <w:pStyle w:val="Footer"/>
    </w:pPr>
    <w:r>
      <w:tab/>
      <w:t>Matter enclosed in superscript numerals has been adopted as follows:</w:t>
    </w:r>
  </w:p>
  <w:p w:rsidR="00767A4A" w:rsidRDefault="00767A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rsidR="00512310" w:rsidRDefault="001F39D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r w:rsidR="008C5665">
      <w:rPr>
        <w:rFonts w:ascii="AlbertusExtraBold" w:hAnsi="AlbertusExtraBold"/>
      </w:rPr>
      <w:tab/>
    </w:r>
  </w:p>
  <w:p w:rsidR="00767A4A" w:rsidRDefault="00512310">
    <w:pPr>
      <w:pStyle w:val="Footer"/>
      <w:rPr>
        <w:rFonts w:ascii="AlbertusExtraBold" w:hAnsi="AlbertusExtraBold"/>
      </w:rPr>
    </w:pPr>
    <w:r>
      <w:rPr>
        <w:rFonts w:ascii="AlbertusExtraBold" w:hAnsi="AlbertusExtraBold"/>
      </w:rPr>
      <w:tab/>
    </w:r>
    <w:r w:rsidR="008C5665">
      <w:rPr>
        <w:rFonts w:ascii="AlbertusExtraBold" w:hAnsi="AlbertusExtraBold"/>
        <w:vertAlign w:val="superscript"/>
      </w:rPr>
      <w:t>3</w:t>
    </w:r>
    <w:r w:rsidR="008C5665">
      <w:rPr>
        <w:rFonts w:ascii="AlbertusExtraBold" w:hAnsi="AlbertusExtraBold"/>
      </w:rPr>
      <w:t>Assembly AHO committee amendments adopted May 5, 2021.</w:t>
    </w:r>
  </w:p>
  <w:p w:rsidR="008C5665" w:rsidRPr="008C5665" w:rsidRDefault="008C566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02" w:rsidRDefault="003E7A02">
      <w:r>
        <w:separator/>
      </w:r>
    </w:p>
  </w:footnote>
  <w:footnote w:type="continuationSeparator" w:id="0">
    <w:p w:rsidR="003E7A02" w:rsidRDefault="003E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63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1AC8" w:rsidRDefault="00C61AC8" w:rsidP="00C61AC8">
    <w:pPr>
      <w:pStyle w:val="bpuHeadSpon"/>
    </w:pPr>
    <w:r w:rsidRPr="00C61AC8">
      <w:rPr>
        <w:rStyle w:val="bpuHeadSponChar"/>
      </w:rPr>
      <w:t>A1919</w:t>
    </w:r>
    <w:r>
      <w:t xml:space="preserve"> </w:t>
    </w:r>
    <w:r w:rsidR="008C5665">
      <w:t>[3R]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6263F9">
      <w:rPr>
        <w:noProof/>
      </w:rPr>
      <w:t>7</w:t>
    </w:r>
    <w:r>
      <w:fldChar w:fldCharType="end"/>
    </w:r>
  </w:p>
  <w:p w:rsidR="00C61AC8" w:rsidRPr="00AF575C" w:rsidRDefault="00C61AC8" w:rsidP="00C6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1AC8" w:rsidRDefault="00C61AC8" w:rsidP="00C61AC8">
    <w:pPr>
      <w:pStyle w:val="bpuHeadSpon"/>
    </w:pPr>
    <w:r w:rsidRPr="00C61AC8">
      <w:rPr>
        <w:rStyle w:val="bpuHeadSponChar"/>
      </w:rPr>
      <w:t>A1919</w:t>
    </w:r>
    <w:r>
      <w:t xml:space="preserve"> </w:t>
    </w:r>
    <w:r w:rsidR="008C5665">
      <w:t>[3R]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6263F9">
      <w:rPr>
        <w:noProof/>
      </w:rPr>
      <w:t>2</w:t>
    </w:r>
    <w:r>
      <w:fldChar w:fldCharType="end"/>
    </w:r>
  </w:p>
  <w:p w:rsidR="00C61AC8" w:rsidRDefault="00C61AC8" w:rsidP="00C6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02"/>
    <w:rsid w:val="00000169"/>
    <w:rsid w:val="00004D4D"/>
    <w:rsid w:val="00007B70"/>
    <w:rsid w:val="00007DDD"/>
    <w:rsid w:val="00010512"/>
    <w:rsid w:val="00011BAB"/>
    <w:rsid w:val="000154F3"/>
    <w:rsid w:val="000203E7"/>
    <w:rsid w:val="00020E5B"/>
    <w:rsid w:val="000219C8"/>
    <w:rsid w:val="00030BB1"/>
    <w:rsid w:val="00030E8B"/>
    <w:rsid w:val="00035598"/>
    <w:rsid w:val="00050BCA"/>
    <w:rsid w:val="000521CD"/>
    <w:rsid w:val="00057488"/>
    <w:rsid w:val="000654B5"/>
    <w:rsid w:val="0006579B"/>
    <w:rsid w:val="00065BBF"/>
    <w:rsid w:val="000778CE"/>
    <w:rsid w:val="00095699"/>
    <w:rsid w:val="000A098A"/>
    <w:rsid w:val="000A384F"/>
    <w:rsid w:val="000A5654"/>
    <w:rsid w:val="000A6268"/>
    <w:rsid w:val="000A66D5"/>
    <w:rsid w:val="000A7D31"/>
    <w:rsid w:val="000B26A6"/>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24C"/>
    <w:rsid w:val="001762FB"/>
    <w:rsid w:val="00182504"/>
    <w:rsid w:val="00186D54"/>
    <w:rsid w:val="00197DEE"/>
    <w:rsid w:val="001A253A"/>
    <w:rsid w:val="001A28C1"/>
    <w:rsid w:val="001A3589"/>
    <w:rsid w:val="001A55F1"/>
    <w:rsid w:val="001A66DB"/>
    <w:rsid w:val="001B3175"/>
    <w:rsid w:val="001B3F81"/>
    <w:rsid w:val="001B7150"/>
    <w:rsid w:val="001C3BEE"/>
    <w:rsid w:val="001C6A67"/>
    <w:rsid w:val="001D576D"/>
    <w:rsid w:val="001D7350"/>
    <w:rsid w:val="001E4DBB"/>
    <w:rsid w:val="001F39DA"/>
    <w:rsid w:val="001F6719"/>
    <w:rsid w:val="001F6DA6"/>
    <w:rsid w:val="0020052E"/>
    <w:rsid w:val="00211DF8"/>
    <w:rsid w:val="00214614"/>
    <w:rsid w:val="0022067D"/>
    <w:rsid w:val="00231838"/>
    <w:rsid w:val="00232C5B"/>
    <w:rsid w:val="002373F3"/>
    <w:rsid w:val="002463CF"/>
    <w:rsid w:val="0026254F"/>
    <w:rsid w:val="00266FB9"/>
    <w:rsid w:val="00274341"/>
    <w:rsid w:val="0028159B"/>
    <w:rsid w:val="00292206"/>
    <w:rsid w:val="00296363"/>
    <w:rsid w:val="002A16E7"/>
    <w:rsid w:val="002A71FA"/>
    <w:rsid w:val="002B4DA4"/>
    <w:rsid w:val="002B67F7"/>
    <w:rsid w:val="002C58D4"/>
    <w:rsid w:val="002D703F"/>
    <w:rsid w:val="002E1440"/>
    <w:rsid w:val="002E2980"/>
    <w:rsid w:val="00304565"/>
    <w:rsid w:val="00307F11"/>
    <w:rsid w:val="0031075B"/>
    <w:rsid w:val="00317C73"/>
    <w:rsid w:val="00317E01"/>
    <w:rsid w:val="003212E6"/>
    <w:rsid w:val="00333EF1"/>
    <w:rsid w:val="00346CF5"/>
    <w:rsid w:val="00352F8B"/>
    <w:rsid w:val="00354D07"/>
    <w:rsid w:val="00364F03"/>
    <w:rsid w:val="0037458C"/>
    <w:rsid w:val="00381407"/>
    <w:rsid w:val="00382165"/>
    <w:rsid w:val="0038486B"/>
    <w:rsid w:val="003941E5"/>
    <w:rsid w:val="003A19B9"/>
    <w:rsid w:val="003A213D"/>
    <w:rsid w:val="003B7F50"/>
    <w:rsid w:val="003C32D1"/>
    <w:rsid w:val="003C6FBF"/>
    <w:rsid w:val="003D2B0D"/>
    <w:rsid w:val="003D6256"/>
    <w:rsid w:val="003E3338"/>
    <w:rsid w:val="003E7A02"/>
    <w:rsid w:val="003E7B4E"/>
    <w:rsid w:val="003F145F"/>
    <w:rsid w:val="003F4A22"/>
    <w:rsid w:val="004040F9"/>
    <w:rsid w:val="00406A85"/>
    <w:rsid w:val="0041453D"/>
    <w:rsid w:val="00416FCD"/>
    <w:rsid w:val="00421DB7"/>
    <w:rsid w:val="0044324F"/>
    <w:rsid w:val="0044404C"/>
    <w:rsid w:val="00470114"/>
    <w:rsid w:val="00470ABF"/>
    <w:rsid w:val="0048038F"/>
    <w:rsid w:val="00481F65"/>
    <w:rsid w:val="00484B8A"/>
    <w:rsid w:val="004A1554"/>
    <w:rsid w:val="004A5222"/>
    <w:rsid w:val="004B0CE3"/>
    <w:rsid w:val="004B5C78"/>
    <w:rsid w:val="004B667A"/>
    <w:rsid w:val="004B6E61"/>
    <w:rsid w:val="004B75D5"/>
    <w:rsid w:val="004C0EE5"/>
    <w:rsid w:val="004C1B1C"/>
    <w:rsid w:val="004C1D33"/>
    <w:rsid w:val="004C2B44"/>
    <w:rsid w:val="004D1B2E"/>
    <w:rsid w:val="004D76F0"/>
    <w:rsid w:val="004E5433"/>
    <w:rsid w:val="004F18AF"/>
    <w:rsid w:val="00501B0F"/>
    <w:rsid w:val="0050427A"/>
    <w:rsid w:val="00505402"/>
    <w:rsid w:val="00512310"/>
    <w:rsid w:val="0051355F"/>
    <w:rsid w:val="00515090"/>
    <w:rsid w:val="00520989"/>
    <w:rsid w:val="005311D7"/>
    <w:rsid w:val="00541709"/>
    <w:rsid w:val="00541E58"/>
    <w:rsid w:val="00546499"/>
    <w:rsid w:val="005475CF"/>
    <w:rsid w:val="005501DB"/>
    <w:rsid w:val="00550854"/>
    <w:rsid w:val="005508CF"/>
    <w:rsid w:val="00560F96"/>
    <w:rsid w:val="0056610D"/>
    <w:rsid w:val="00574518"/>
    <w:rsid w:val="00577F93"/>
    <w:rsid w:val="005836AB"/>
    <w:rsid w:val="00585FA1"/>
    <w:rsid w:val="005866AA"/>
    <w:rsid w:val="005876F1"/>
    <w:rsid w:val="00592664"/>
    <w:rsid w:val="0059343F"/>
    <w:rsid w:val="0059523B"/>
    <w:rsid w:val="00596B76"/>
    <w:rsid w:val="005C0288"/>
    <w:rsid w:val="005C7C01"/>
    <w:rsid w:val="005D28BC"/>
    <w:rsid w:val="005D5980"/>
    <w:rsid w:val="005E5083"/>
    <w:rsid w:val="005F1C6B"/>
    <w:rsid w:val="006005C9"/>
    <w:rsid w:val="00601E45"/>
    <w:rsid w:val="00602497"/>
    <w:rsid w:val="00603129"/>
    <w:rsid w:val="00612255"/>
    <w:rsid w:val="00615CB7"/>
    <w:rsid w:val="00621785"/>
    <w:rsid w:val="006222E7"/>
    <w:rsid w:val="00624F54"/>
    <w:rsid w:val="006263F9"/>
    <w:rsid w:val="00626BB3"/>
    <w:rsid w:val="0064213F"/>
    <w:rsid w:val="006461F6"/>
    <w:rsid w:val="00651F05"/>
    <w:rsid w:val="006572E9"/>
    <w:rsid w:val="00660602"/>
    <w:rsid w:val="006612A0"/>
    <w:rsid w:val="00667A05"/>
    <w:rsid w:val="00671CE6"/>
    <w:rsid w:val="006808C6"/>
    <w:rsid w:val="00680D5F"/>
    <w:rsid w:val="00686754"/>
    <w:rsid w:val="006878F9"/>
    <w:rsid w:val="0069522C"/>
    <w:rsid w:val="00695BC5"/>
    <w:rsid w:val="006A3786"/>
    <w:rsid w:val="006B06A2"/>
    <w:rsid w:val="006B2FCF"/>
    <w:rsid w:val="006C3B76"/>
    <w:rsid w:val="006C4542"/>
    <w:rsid w:val="006C4F9A"/>
    <w:rsid w:val="006D5343"/>
    <w:rsid w:val="006D65B4"/>
    <w:rsid w:val="006E36B4"/>
    <w:rsid w:val="006F4C44"/>
    <w:rsid w:val="006F61AF"/>
    <w:rsid w:val="006F652B"/>
    <w:rsid w:val="0070018A"/>
    <w:rsid w:val="00712CBE"/>
    <w:rsid w:val="00730582"/>
    <w:rsid w:val="00741A09"/>
    <w:rsid w:val="00752616"/>
    <w:rsid w:val="0075577B"/>
    <w:rsid w:val="00757B3B"/>
    <w:rsid w:val="00760D20"/>
    <w:rsid w:val="00762366"/>
    <w:rsid w:val="007676EB"/>
    <w:rsid w:val="0076794B"/>
    <w:rsid w:val="00767A4A"/>
    <w:rsid w:val="00771DC8"/>
    <w:rsid w:val="00771F97"/>
    <w:rsid w:val="00772A40"/>
    <w:rsid w:val="0077700A"/>
    <w:rsid w:val="0079623B"/>
    <w:rsid w:val="007A0026"/>
    <w:rsid w:val="007C1354"/>
    <w:rsid w:val="007C2917"/>
    <w:rsid w:val="007C2C02"/>
    <w:rsid w:val="007D0F64"/>
    <w:rsid w:val="007D23BF"/>
    <w:rsid w:val="007F02BF"/>
    <w:rsid w:val="007F2A14"/>
    <w:rsid w:val="0080085C"/>
    <w:rsid w:val="00802AF0"/>
    <w:rsid w:val="0080619D"/>
    <w:rsid w:val="00806253"/>
    <w:rsid w:val="00820A1D"/>
    <w:rsid w:val="008417B4"/>
    <w:rsid w:val="00841F07"/>
    <w:rsid w:val="008462AA"/>
    <w:rsid w:val="00846D3E"/>
    <w:rsid w:val="0084725C"/>
    <w:rsid w:val="008556CD"/>
    <w:rsid w:val="008627AA"/>
    <w:rsid w:val="008628FF"/>
    <w:rsid w:val="00867FC7"/>
    <w:rsid w:val="00874609"/>
    <w:rsid w:val="0087660A"/>
    <w:rsid w:val="008823BC"/>
    <w:rsid w:val="00884848"/>
    <w:rsid w:val="008859B3"/>
    <w:rsid w:val="008B313B"/>
    <w:rsid w:val="008B4545"/>
    <w:rsid w:val="008B6E84"/>
    <w:rsid w:val="008C5665"/>
    <w:rsid w:val="008C6FA9"/>
    <w:rsid w:val="008D35C6"/>
    <w:rsid w:val="008D455C"/>
    <w:rsid w:val="008D62DB"/>
    <w:rsid w:val="008E3B9B"/>
    <w:rsid w:val="008E4F67"/>
    <w:rsid w:val="008F6A7A"/>
    <w:rsid w:val="00902B2D"/>
    <w:rsid w:val="00915B98"/>
    <w:rsid w:val="00927883"/>
    <w:rsid w:val="00933C9C"/>
    <w:rsid w:val="0094377E"/>
    <w:rsid w:val="0094591A"/>
    <w:rsid w:val="009467BF"/>
    <w:rsid w:val="0094723D"/>
    <w:rsid w:val="009524F1"/>
    <w:rsid w:val="009564BC"/>
    <w:rsid w:val="0095650E"/>
    <w:rsid w:val="00966445"/>
    <w:rsid w:val="00967FED"/>
    <w:rsid w:val="00980A56"/>
    <w:rsid w:val="00986E4C"/>
    <w:rsid w:val="009937ED"/>
    <w:rsid w:val="00993BCE"/>
    <w:rsid w:val="0099404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D9B"/>
    <w:rsid w:val="00A224BB"/>
    <w:rsid w:val="00A22502"/>
    <w:rsid w:val="00A40A31"/>
    <w:rsid w:val="00A469CC"/>
    <w:rsid w:val="00A52EA3"/>
    <w:rsid w:val="00A55E7F"/>
    <w:rsid w:val="00A61AD4"/>
    <w:rsid w:val="00A63229"/>
    <w:rsid w:val="00A64CED"/>
    <w:rsid w:val="00A7050B"/>
    <w:rsid w:val="00A721B4"/>
    <w:rsid w:val="00A72513"/>
    <w:rsid w:val="00A95220"/>
    <w:rsid w:val="00AA2A56"/>
    <w:rsid w:val="00AA3B15"/>
    <w:rsid w:val="00AA6194"/>
    <w:rsid w:val="00AA64D0"/>
    <w:rsid w:val="00AB4C5C"/>
    <w:rsid w:val="00AC2D77"/>
    <w:rsid w:val="00AC4B4B"/>
    <w:rsid w:val="00AD7C41"/>
    <w:rsid w:val="00AE1E57"/>
    <w:rsid w:val="00AF3B10"/>
    <w:rsid w:val="00AF6ECE"/>
    <w:rsid w:val="00B00B00"/>
    <w:rsid w:val="00B034C1"/>
    <w:rsid w:val="00B0560C"/>
    <w:rsid w:val="00B07DA6"/>
    <w:rsid w:val="00B11520"/>
    <w:rsid w:val="00B14011"/>
    <w:rsid w:val="00B14D35"/>
    <w:rsid w:val="00B211F7"/>
    <w:rsid w:val="00B21C53"/>
    <w:rsid w:val="00B23EFE"/>
    <w:rsid w:val="00B24336"/>
    <w:rsid w:val="00B346F4"/>
    <w:rsid w:val="00B3656D"/>
    <w:rsid w:val="00B7201D"/>
    <w:rsid w:val="00B809B3"/>
    <w:rsid w:val="00B80AFD"/>
    <w:rsid w:val="00B854DC"/>
    <w:rsid w:val="00B871B8"/>
    <w:rsid w:val="00B90F81"/>
    <w:rsid w:val="00B91BF9"/>
    <w:rsid w:val="00BB2482"/>
    <w:rsid w:val="00BC1998"/>
    <w:rsid w:val="00BC4545"/>
    <w:rsid w:val="00BD79EC"/>
    <w:rsid w:val="00BE204A"/>
    <w:rsid w:val="00BE26FC"/>
    <w:rsid w:val="00BF23C7"/>
    <w:rsid w:val="00BF7456"/>
    <w:rsid w:val="00C035F3"/>
    <w:rsid w:val="00C078A1"/>
    <w:rsid w:val="00C3269E"/>
    <w:rsid w:val="00C3401C"/>
    <w:rsid w:val="00C4425E"/>
    <w:rsid w:val="00C463D1"/>
    <w:rsid w:val="00C473B8"/>
    <w:rsid w:val="00C603F9"/>
    <w:rsid w:val="00C614C5"/>
    <w:rsid w:val="00C61AC8"/>
    <w:rsid w:val="00C61E0E"/>
    <w:rsid w:val="00C62F10"/>
    <w:rsid w:val="00C72B19"/>
    <w:rsid w:val="00C83317"/>
    <w:rsid w:val="00C908AF"/>
    <w:rsid w:val="00C937A1"/>
    <w:rsid w:val="00C93F56"/>
    <w:rsid w:val="00CA37E2"/>
    <w:rsid w:val="00CB344E"/>
    <w:rsid w:val="00CB6374"/>
    <w:rsid w:val="00CF2757"/>
    <w:rsid w:val="00CF2761"/>
    <w:rsid w:val="00CF506C"/>
    <w:rsid w:val="00CF7045"/>
    <w:rsid w:val="00D0612B"/>
    <w:rsid w:val="00D06296"/>
    <w:rsid w:val="00D0784A"/>
    <w:rsid w:val="00D1283E"/>
    <w:rsid w:val="00D12F98"/>
    <w:rsid w:val="00D158BB"/>
    <w:rsid w:val="00D169D8"/>
    <w:rsid w:val="00D16DE7"/>
    <w:rsid w:val="00D209A5"/>
    <w:rsid w:val="00D23780"/>
    <w:rsid w:val="00D31191"/>
    <w:rsid w:val="00D33C0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F6"/>
    <w:rsid w:val="00DA54E1"/>
    <w:rsid w:val="00DA6AA9"/>
    <w:rsid w:val="00DB3F84"/>
    <w:rsid w:val="00DB5B8E"/>
    <w:rsid w:val="00DC19C7"/>
    <w:rsid w:val="00DC283E"/>
    <w:rsid w:val="00DC75BA"/>
    <w:rsid w:val="00DD1E46"/>
    <w:rsid w:val="00DF4E47"/>
    <w:rsid w:val="00E0012A"/>
    <w:rsid w:val="00E025E4"/>
    <w:rsid w:val="00E03582"/>
    <w:rsid w:val="00E05DFC"/>
    <w:rsid w:val="00E120CD"/>
    <w:rsid w:val="00E33D7F"/>
    <w:rsid w:val="00E36157"/>
    <w:rsid w:val="00E44D94"/>
    <w:rsid w:val="00E500AD"/>
    <w:rsid w:val="00E53E99"/>
    <w:rsid w:val="00E55465"/>
    <w:rsid w:val="00E66E37"/>
    <w:rsid w:val="00E73613"/>
    <w:rsid w:val="00E73A9B"/>
    <w:rsid w:val="00E74087"/>
    <w:rsid w:val="00E7752C"/>
    <w:rsid w:val="00E8330C"/>
    <w:rsid w:val="00E84646"/>
    <w:rsid w:val="00E875D8"/>
    <w:rsid w:val="00E87B2A"/>
    <w:rsid w:val="00EA0A0F"/>
    <w:rsid w:val="00EA2189"/>
    <w:rsid w:val="00EA7EE4"/>
    <w:rsid w:val="00EB0958"/>
    <w:rsid w:val="00EB167F"/>
    <w:rsid w:val="00EB28D8"/>
    <w:rsid w:val="00EB6042"/>
    <w:rsid w:val="00EB71AE"/>
    <w:rsid w:val="00EC050B"/>
    <w:rsid w:val="00EE77BF"/>
    <w:rsid w:val="00EF02D1"/>
    <w:rsid w:val="00EF5225"/>
    <w:rsid w:val="00F01E61"/>
    <w:rsid w:val="00F03E56"/>
    <w:rsid w:val="00F0415D"/>
    <w:rsid w:val="00F14E45"/>
    <w:rsid w:val="00F17CFC"/>
    <w:rsid w:val="00F42480"/>
    <w:rsid w:val="00F52EEA"/>
    <w:rsid w:val="00F62572"/>
    <w:rsid w:val="00F6488F"/>
    <w:rsid w:val="00F70CF6"/>
    <w:rsid w:val="00F76320"/>
    <w:rsid w:val="00F85DDC"/>
    <w:rsid w:val="00F91244"/>
    <w:rsid w:val="00F95319"/>
    <w:rsid w:val="00FB3056"/>
    <w:rsid w:val="00FB309C"/>
    <w:rsid w:val="00FB3C7C"/>
    <w:rsid w:val="00FB6E52"/>
    <w:rsid w:val="00FC5994"/>
    <w:rsid w:val="00FC7EFA"/>
    <w:rsid w:val="00FD2897"/>
    <w:rsid w:val="00FD4421"/>
    <w:rsid w:val="00FD4591"/>
    <w:rsid w:val="00FE78D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20C439"/>
  <w15:docId w15:val="{C6A79714-44F7-4109-83A5-9E40AEAB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91A"/>
    <w:rPr>
      <w:rFonts w:ascii="Segoe UI" w:hAnsi="Segoe UI" w:cs="Segoe UI"/>
      <w:spacing w:val="4"/>
      <w:sz w:val="18"/>
      <w:szCs w:val="18"/>
    </w:rPr>
  </w:style>
  <w:style w:type="character" w:styleId="LineNumber">
    <w:name w:val="line number"/>
    <w:basedOn w:val="DefaultParagraphFont"/>
    <w:semiHidden/>
    <w:unhideWhenUsed/>
    <w:rsid w:val="00C6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E6721-3BFF-4BAE-9DE6-4D382598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4111</Words>
  <Characters>22408</Characters>
  <Application>Microsoft Office Word</Application>
  <DocSecurity>0</DocSecurity>
  <Lines>491</Lines>
  <Paragraphs>133</Paragraphs>
  <ScaleCrop>false</ScaleCrop>
  <HeadingPairs>
    <vt:vector size="2" baseType="variant">
      <vt:variant>
        <vt:lpstr>Title</vt:lpstr>
      </vt:variant>
      <vt:variant>
        <vt:i4>1</vt:i4>
      </vt:variant>
    </vt:vector>
  </HeadingPairs>
  <TitlesOfParts>
    <vt:vector size="1" baseType="lpstr">
      <vt:lpstr>A1919 2R</vt:lpstr>
    </vt:vector>
  </TitlesOfParts>
  <Manager>R230</Manager>
  <Company>OFFICE of LEGISLATIVE SERVICES</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3R</dc:title>
  <dc:creator>Assemblyman  WIMBERLY, Assemblywoman  REYNOLDS-JACKSON</dc:creator>
  <cp:keywords>A1919|11|LG |264|115|297|!|0|</cp:keywords>
  <dc:description>PREFILED 2020_x000d_
Amended/TR 12/7/20_x000d_
Amended 12/14/20_x000d_
Amended 5/5/21</dc:description>
  <cp:lastModifiedBy>Todaro, Vivian</cp:lastModifiedBy>
  <cp:revision>2</cp:revision>
  <cp:lastPrinted>2021-05-18T17:02:00Z</cp:lastPrinted>
  <dcterms:created xsi:type="dcterms:W3CDTF">2021-05-18T17:02:00Z</dcterms:created>
  <dcterms:modified xsi:type="dcterms:W3CDTF">2021-05-18T17:02:00Z</dcterms:modified>
  <cp:category>ss. 1-7: C.46:8-52 et seq.; s.8: APA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