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707" w:rsidRDefault="00257707" w:rsidP="00257707">
      <w:pPr>
        <w:pStyle w:val="bpuBill"/>
      </w:pPr>
      <w:bookmarkStart w:id="0" w:name="bpuFrontPg"/>
      <w:bookmarkStart w:id="1" w:name="_GoBack"/>
      <w:bookmarkEnd w:id="0"/>
      <w:bookmarkEnd w:id="1"/>
      <w:r>
        <w:t xml:space="preserve">ASSEMBLY, No. 2044 </w:t>
      </w:r>
    </w:p>
    <w:p w:rsidR="00257707" w:rsidRPr="00257707" w:rsidRDefault="00257707" w:rsidP="002577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857" r:id="rId8"/>
        </w:object>
      </w:r>
    </w:p>
    <w:p w:rsidR="00257707" w:rsidRDefault="00257707" w:rsidP="00257707">
      <w:pPr>
        <w:pStyle w:val="bpuState"/>
      </w:pPr>
      <w:r>
        <w:t>STATE OF NEW JERSEY</w:t>
      </w:r>
    </w:p>
    <w:p w:rsidR="00257707" w:rsidRDefault="00257707" w:rsidP="00257707">
      <w:pPr>
        <w:pStyle w:val="bpuLegislature"/>
      </w:pPr>
      <w:r>
        <w:t>219th LEGISLATURE</w:t>
      </w:r>
    </w:p>
    <w:p w:rsidR="00257707" w:rsidRDefault="00257707" w:rsidP="00257707">
      <w:pPr>
        <w:pStyle w:val="bpuWpGraphic"/>
      </w:pPr>
      <w:r>
        <w:object w:dxaOrig="8985" w:dyaOrig="255">
          <v:shape id="_x0000_i1026" type="#_x0000_t75" style="width:6in;height:12pt" o:ole="">
            <v:imagedata r:id="rId7" o:title=""/>
          </v:shape>
          <o:OLEObject Type="Embed" ProgID="WPWin6.1" ShapeID="_x0000_i1026" DrawAspect="Content" ObjectID="_1640270858" r:id="rId9"/>
        </w:object>
      </w:r>
      <w:r>
        <w:t xml:space="preserve">  </w:t>
      </w:r>
    </w:p>
    <w:p w:rsidR="00257707" w:rsidRDefault="00257707" w:rsidP="00257707">
      <w:pPr>
        <w:pStyle w:val="bpuIntro"/>
      </w:pPr>
      <w:r>
        <w:t>PRE-FILED FOR INTRODUCTION IN THE 2020 SESSION</w:t>
      </w:r>
    </w:p>
    <w:p w:rsidR="00257707" w:rsidRDefault="00257707" w:rsidP="00257707">
      <w:pPr>
        <w:pStyle w:val="bpuIntro"/>
      </w:pPr>
    </w:p>
    <w:p w:rsidR="00257707" w:rsidRDefault="00257707" w:rsidP="00257707">
      <w:pPr>
        <w:pStyle w:val="bpuIntro"/>
        <w:sectPr w:rsidR="00257707" w:rsidSect="00257707">
          <w:headerReference w:type="even" r:id="rId10"/>
          <w:headerReference w:type="default" r:id="rId11"/>
          <w:pgSz w:w="12240" w:h="20160" w:code="5"/>
          <w:pgMar w:top="2160" w:right="1440" w:bottom="1440" w:left="1440" w:header="720" w:footer="720" w:gutter="0"/>
          <w:pgNumType w:start="1"/>
          <w:cols w:space="720"/>
          <w:docGrid w:linePitch="360"/>
        </w:sectPr>
      </w:pPr>
    </w:p>
    <w:p w:rsidR="00257707" w:rsidRDefault="00257707" w:rsidP="00257707">
      <w:pPr>
        <w:pStyle w:val="bpuIntro"/>
      </w:pPr>
    </w:p>
    <w:p w:rsidR="00257707" w:rsidRDefault="00257707" w:rsidP="00257707">
      <w:pPr>
        <w:pStyle w:val="bpuSponsor"/>
      </w:pPr>
      <w:r>
        <w:t>Sponsored by:</w:t>
      </w:r>
    </w:p>
    <w:p w:rsidR="00257707" w:rsidRDefault="00257707" w:rsidP="00257707">
      <w:pPr>
        <w:pStyle w:val="bpuSponsor"/>
      </w:pPr>
      <w:r>
        <w:t>Assemblywoman  ELIANA PINTOR MARIN</w:t>
      </w:r>
    </w:p>
    <w:p w:rsidR="00257707" w:rsidRDefault="00257707" w:rsidP="00257707">
      <w:pPr>
        <w:pStyle w:val="bpuSponsor"/>
      </w:pPr>
      <w:r>
        <w:t>District 29 (Essex)</w:t>
      </w:r>
    </w:p>
    <w:p w:rsidR="00257707" w:rsidRDefault="00257707" w:rsidP="00257707">
      <w:pPr>
        <w:pStyle w:val="bpuSponsor"/>
      </w:pPr>
    </w:p>
    <w:p w:rsidR="00257707" w:rsidRDefault="00257707" w:rsidP="00257707">
      <w:pPr>
        <w:pStyle w:val="bpuSponsor"/>
      </w:pPr>
    </w:p>
    <w:p w:rsidR="00257707" w:rsidRDefault="00257707" w:rsidP="00257707">
      <w:pPr>
        <w:pStyle w:val="bpuSponsor"/>
      </w:pPr>
    </w:p>
    <w:p w:rsidR="00257707" w:rsidRDefault="00257707" w:rsidP="00257707">
      <w:pPr>
        <w:pStyle w:val="bpuSponsor"/>
      </w:pPr>
    </w:p>
    <w:p w:rsidR="00257707" w:rsidRDefault="00257707" w:rsidP="00257707">
      <w:pPr>
        <w:pStyle w:val="bpuSponsor"/>
      </w:pPr>
      <w:r>
        <w:t>SYNOPSIS</w:t>
      </w:r>
    </w:p>
    <w:p w:rsidR="00257707" w:rsidRDefault="00257707" w:rsidP="00257707">
      <w:pPr>
        <w:pStyle w:val="bpuNormText"/>
      </w:pPr>
      <w:r>
        <w:tab/>
        <w:t xml:space="preserve">Requires owner or operator of industrial establishment applying for de </w:t>
      </w:r>
      <w:proofErr w:type="spellStart"/>
      <w:r>
        <w:t>minimis</w:t>
      </w:r>
      <w:proofErr w:type="spellEnd"/>
      <w:r>
        <w:t xml:space="preserve"> exemption from “Industrial Site Recovery Act” to certify as to no actual knowledge of contamination exceeding remediation standards. </w:t>
      </w:r>
    </w:p>
    <w:p w:rsidR="00257707" w:rsidRDefault="00257707" w:rsidP="00257707">
      <w:pPr>
        <w:pStyle w:val="bpuNormText"/>
      </w:pPr>
    </w:p>
    <w:p w:rsidR="00257707" w:rsidRDefault="00257707" w:rsidP="00257707">
      <w:pPr>
        <w:pStyle w:val="bpuSponsor"/>
      </w:pPr>
      <w:r>
        <w:t xml:space="preserve">CURRENT VERSION OF TEXT </w:t>
      </w:r>
    </w:p>
    <w:p w:rsidR="00257707" w:rsidRDefault="00257707" w:rsidP="00257707">
      <w:pPr>
        <w:pStyle w:val="bpuNormText"/>
      </w:pPr>
      <w:r>
        <w:tab/>
        <w:t>Introduced Pending Technical Review by Legislative Counsel.</w:t>
      </w:r>
    </w:p>
    <w:p w:rsidR="00257707" w:rsidRDefault="00257707" w:rsidP="0025770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7707" w:rsidRDefault="0025770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7707" w:rsidSect="00257707">
          <w:type w:val="continuous"/>
          <w:pgSz w:w="12240" w:h="20160" w:code="5"/>
          <w:pgMar w:top="2160" w:right="2275" w:bottom="1440" w:left="2275" w:header="72" w:footer="720" w:gutter="0"/>
          <w:pgNumType w:start="1"/>
          <w:cols w:space="720"/>
          <w:docGrid w:linePitch="360"/>
        </w:sectPr>
      </w:pPr>
    </w:p>
    <w:p w:rsidR="00543727" w:rsidRPr="00677316" w:rsidRDefault="00543727" w:rsidP="00543727">
      <w:pPr>
        <w:pStyle w:val="HangingAnAct"/>
        <w:rPr>
          <w:rStyle w:val="HangingAnActChar"/>
        </w:rPr>
      </w:pPr>
      <w:r w:rsidRPr="00543727">
        <w:rPr>
          <w:rStyle w:val="BillHead"/>
        </w:rPr>
        <w:lastRenderedPageBreak/>
        <w:t>An Act</w:t>
      </w:r>
      <w:r w:rsidRPr="006B7FA7">
        <w:rPr>
          <w:rStyle w:val="HangingAnActChar"/>
        </w:rPr>
        <w:t xml:space="preserve"> </w:t>
      </w:r>
      <w:r>
        <w:rPr>
          <w:rStyle w:val="HangingAnActChar"/>
        </w:rPr>
        <w:t xml:space="preserve">concerning site remediation and amending </w:t>
      </w:r>
      <w:r>
        <w:t>P.L.1993, c.139.</w:t>
      </w:r>
    </w:p>
    <w:p w:rsidR="00543727" w:rsidRPr="00D71D68" w:rsidRDefault="00543727" w:rsidP="00543727"/>
    <w:p w:rsidR="00543727" w:rsidRPr="00AA7880" w:rsidRDefault="00543727" w:rsidP="0054372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43727" w:rsidRDefault="00543727" w:rsidP="00543727"/>
    <w:p w:rsidR="00543727" w:rsidRDefault="00543727" w:rsidP="00543727">
      <w:r>
        <w:tab/>
        <w:t>1.</w:t>
      </w:r>
      <w:r>
        <w:tab/>
        <w:t>Section 9 of P.L.1993, c.139 (C.13:1K-9.7) is amended to read as follows:</w:t>
      </w:r>
    </w:p>
    <w:p w:rsidR="00543727" w:rsidRDefault="00543727" w:rsidP="00543727">
      <w:pPr>
        <w:rPr>
          <w:u w:val="single"/>
        </w:rPr>
      </w:pPr>
      <w:r>
        <w:tab/>
        <w:t>9.</w:t>
      </w:r>
      <w:r>
        <w:tab/>
        <w:t xml:space="preserve">The owner or operator of an industrial establishment may, upon submission of a written notice to the department, transfer ownership or operations or close operations without complying with the provisions of section 4 of P.L.1983, c.330 (C.13:1K-9) if </w:t>
      </w:r>
      <w:r>
        <w:rPr>
          <w:u w:val="single"/>
        </w:rPr>
        <w:t>:</w:t>
      </w:r>
    </w:p>
    <w:p w:rsidR="00543727" w:rsidRDefault="00543727" w:rsidP="00543727">
      <w:pPr>
        <w:rPr>
          <w:u w:val="single"/>
        </w:rPr>
      </w:pPr>
      <w:r w:rsidRPr="004B4D94">
        <w:tab/>
      </w:r>
      <w:r>
        <w:rPr>
          <w:u w:val="single"/>
        </w:rPr>
        <w:t>a.</w:t>
      </w:r>
      <w:r>
        <w:rPr>
          <w:u w:val="single"/>
        </w:rPr>
        <w:tab/>
        <w:t>the owner or operator certifies to the department that the owner or operator does not have actual knowledge of any contamination at the industrial establishment above remediation standards; and</w:t>
      </w:r>
    </w:p>
    <w:p w:rsidR="00543727" w:rsidRPr="004B4D94" w:rsidRDefault="00543727" w:rsidP="00543727">
      <w:pPr>
        <w:rPr>
          <w:u w:val="single"/>
        </w:rPr>
      </w:pPr>
      <w:r w:rsidRPr="004B4D94">
        <w:tab/>
      </w:r>
      <w:r>
        <w:rPr>
          <w:u w:val="single"/>
        </w:rPr>
        <w:t>b.</w:t>
      </w:r>
      <w:r>
        <w:tab/>
        <w:t xml:space="preserve">the total quantity of hazardous substances and hazardous wastes generated, manufactured, refined, transported, treated, stored, handled, or disposed of at the industrial establishment at any one time during the owner's or operator's period of ownership or operations:  </w:t>
      </w:r>
    </w:p>
    <w:p w:rsidR="00543727" w:rsidRDefault="00543727" w:rsidP="00543727">
      <w:pPr>
        <w:tabs>
          <w:tab w:val="clear" w:pos="720"/>
          <w:tab w:val="left" w:pos="990"/>
        </w:tabs>
      </w:pPr>
      <w:r>
        <w:tab/>
      </w:r>
      <w:r w:rsidRPr="004B4D94">
        <w:rPr>
          <w:rFonts w:ascii="Albertus Extra Bold" w:hAnsi="Albertus Extra Bold"/>
          <w:b/>
        </w:rPr>
        <w:t>[</w:t>
      </w:r>
      <w:r>
        <w:t>(a)</w:t>
      </w:r>
      <w:r w:rsidRPr="004B4D94">
        <w:rPr>
          <w:rFonts w:ascii="Albertus Extra Bold" w:hAnsi="Albertus Extra Bold"/>
          <w:b/>
        </w:rPr>
        <w:t>]</w:t>
      </w:r>
      <w:r>
        <w:tab/>
      </w:r>
      <w:r w:rsidRPr="004B4D94">
        <w:rPr>
          <w:u w:val="single"/>
        </w:rPr>
        <w:t>(1)</w:t>
      </w:r>
      <w:r>
        <w:t xml:space="preserve">  does not exceed 500 pounds or 55 gallons;</w:t>
      </w:r>
    </w:p>
    <w:p w:rsidR="00543727" w:rsidRDefault="00543727" w:rsidP="00543727">
      <w:pPr>
        <w:tabs>
          <w:tab w:val="left" w:pos="990"/>
        </w:tabs>
      </w:pPr>
      <w:r>
        <w:tab/>
      </w:r>
      <w:r w:rsidRPr="004B4D94">
        <w:rPr>
          <w:rFonts w:ascii="Albertus Extra Bold" w:hAnsi="Albertus Extra Bold"/>
          <w:b/>
        </w:rPr>
        <w:t>[</w:t>
      </w:r>
      <w:r>
        <w:t>(b)</w:t>
      </w:r>
      <w:r w:rsidRPr="004B4D94">
        <w:rPr>
          <w:rFonts w:ascii="Albertus Extra Bold" w:hAnsi="Albertus Extra Bold"/>
          <w:b/>
        </w:rPr>
        <w:t>]</w:t>
      </w:r>
      <w:r>
        <w:tab/>
      </w:r>
      <w:r w:rsidRPr="004B4D94">
        <w:rPr>
          <w:u w:val="single"/>
        </w:rPr>
        <w:t>(2)</w:t>
      </w:r>
      <w:r>
        <w:t xml:space="preserve">  if a hazardous substance or hazardous waste is mixed with nonhazardous substances, the total quantity in the mixture does not exceed 500 pounds or 55 gallons; or</w:t>
      </w:r>
    </w:p>
    <w:p w:rsidR="00543727" w:rsidRDefault="00543727" w:rsidP="00543727">
      <w:pPr>
        <w:tabs>
          <w:tab w:val="left" w:pos="1080"/>
        </w:tabs>
      </w:pPr>
      <w:r>
        <w:tab/>
      </w:r>
      <w:r w:rsidRPr="004B4D94">
        <w:rPr>
          <w:rFonts w:ascii="Albertus Extra Bold" w:hAnsi="Albertus Extra Bold"/>
          <w:b/>
        </w:rPr>
        <w:t>[</w:t>
      </w:r>
      <w:r>
        <w:t>(c)</w:t>
      </w:r>
      <w:r w:rsidRPr="004B4D94">
        <w:rPr>
          <w:rFonts w:ascii="Albertus Extra Bold" w:hAnsi="Albertus Extra Bold"/>
          <w:b/>
        </w:rPr>
        <w:t>]</w:t>
      </w:r>
      <w:r>
        <w:tab/>
      </w:r>
      <w:r w:rsidRPr="004B4D94">
        <w:rPr>
          <w:u w:val="single"/>
        </w:rPr>
        <w:t>(3)</w:t>
      </w:r>
      <w:r>
        <w:t xml:space="preserve">  if, in the aggregate, hydraulic or lubricating oil, does not exceed 220 gallons.</w:t>
      </w:r>
    </w:p>
    <w:p w:rsidR="00543727" w:rsidRDefault="00543727" w:rsidP="00543727">
      <w:r>
        <w:t>(</w:t>
      </w:r>
      <w:proofErr w:type="spellStart"/>
      <w:r>
        <w:t>cf</w:t>
      </w:r>
      <w:proofErr w:type="spellEnd"/>
      <w:r>
        <w:t>:  P.L.1993, c.139, s.9)</w:t>
      </w:r>
    </w:p>
    <w:p w:rsidR="00543727" w:rsidRPr="00D71D68" w:rsidRDefault="00543727" w:rsidP="00543727"/>
    <w:p w:rsidR="00543727" w:rsidRPr="00AA7880" w:rsidRDefault="00543727" w:rsidP="00543727">
      <w:r>
        <w:tab/>
        <w:t>2.</w:t>
      </w:r>
      <w:r>
        <w:tab/>
        <w:t>This act shall take effect immediately.</w:t>
      </w:r>
    </w:p>
    <w:p w:rsidR="00543727" w:rsidRDefault="00543727" w:rsidP="00543727"/>
    <w:p w:rsidR="00543727" w:rsidRPr="00CE7BD8" w:rsidRDefault="00543727" w:rsidP="00543727"/>
    <w:p w:rsidR="00543727" w:rsidRPr="00AA7880" w:rsidRDefault="00543727" w:rsidP="00543727">
      <w:pPr>
        <w:jc w:val="center"/>
      </w:pPr>
      <w:r w:rsidRPr="00D71D68">
        <w:t>STATEMENT</w:t>
      </w:r>
    </w:p>
    <w:p w:rsidR="00543727" w:rsidRDefault="00543727" w:rsidP="00543727"/>
    <w:p w:rsidR="00543727" w:rsidRDefault="00543727" w:rsidP="00543727">
      <w:r>
        <w:tab/>
        <w:t>This bill would provide that the</w:t>
      </w:r>
      <w:r w:rsidRPr="00B76F30">
        <w:t xml:space="preserve"> owner or operator of </w:t>
      </w:r>
      <w:r>
        <w:t xml:space="preserve">an </w:t>
      </w:r>
      <w:r w:rsidRPr="00B76F30">
        <w:t xml:space="preserve">industrial establishment applying for </w:t>
      </w:r>
      <w:r>
        <w:t xml:space="preserve">a </w:t>
      </w:r>
      <w:r w:rsidRPr="00B76F30">
        <w:t xml:space="preserve">de </w:t>
      </w:r>
      <w:proofErr w:type="spellStart"/>
      <w:r w:rsidRPr="00B76F30">
        <w:t>minimis</w:t>
      </w:r>
      <w:proofErr w:type="spellEnd"/>
      <w:r w:rsidRPr="00B76F30">
        <w:t xml:space="preserve"> exemption from </w:t>
      </w:r>
      <w:r>
        <w:t xml:space="preserve">the </w:t>
      </w:r>
      <w:r w:rsidRPr="00B76F30">
        <w:t>“</w:t>
      </w:r>
      <w:r>
        <w:t xml:space="preserve">Industrial Site Recovery Act” (ISRA), P.L.1993, c.139 (C.13:1K-9.7), would be required </w:t>
      </w:r>
      <w:r w:rsidRPr="00B76F30">
        <w:t xml:space="preserve">to certify </w:t>
      </w:r>
      <w:r>
        <w:t xml:space="preserve">to the Department of Environmental Protection that the owner or operator does not have actual knowledge of any </w:t>
      </w:r>
      <w:r w:rsidRPr="003C3713">
        <w:t xml:space="preserve">contamination at the industrial establishment </w:t>
      </w:r>
      <w:r>
        <w:t xml:space="preserve">above </w:t>
      </w:r>
      <w:r w:rsidRPr="003C3713">
        <w:t>remediation standards.</w:t>
      </w:r>
    </w:p>
    <w:p w:rsidR="00543727" w:rsidRDefault="00543727" w:rsidP="00543727">
      <w:r>
        <w:tab/>
        <w:t xml:space="preserve">Under current law, the owner or operator of an industrial establishment may apply for an exemption from the investigatory and remedial requirements of ISRA that apply when transferring or closing an industrial establishment, if the owner or operator’s use of hazardous substances at the site never exceeded certain de </w:t>
      </w:r>
      <w:proofErr w:type="spellStart"/>
      <w:r>
        <w:t>minimis</w:t>
      </w:r>
      <w:proofErr w:type="spellEnd"/>
      <w:r>
        <w:t xml:space="preserve"> levels.  The department adopted rules at N.J.A.C. 7:26B-5.9 requiring that an owner or operator who applies for this de </w:t>
      </w:r>
      <w:proofErr w:type="spellStart"/>
      <w:r>
        <w:t>minimis</w:t>
      </w:r>
      <w:proofErr w:type="spellEnd"/>
      <w:r>
        <w:t xml:space="preserve"> exemption must also provide the department with a certification that the industrial establishment is not contaminated above remediation standards.  However, in a decision issued on </w:t>
      </w:r>
      <w:smartTag w:uri="urn:schemas-microsoft-com:office:smarttags" w:element="date">
        <w:smartTagPr>
          <w:attr w:name="Year" w:val="2012"/>
          <w:attr w:name="Day" w:val="6"/>
          <w:attr w:name="Month" w:val="7"/>
        </w:smartTagPr>
        <w:r>
          <w:t>July 6, 2012</w:t>
        </w:r>
      </w:smartTag>
      <w:r>
        <w:t xml:space="preserve">, the Appellate Division of the Superior Court held that the requirement for such certification was without sufficient legislative authorization and therefore invalid.  </w:t>
      </w:r>
    </w:p>
    <w:p w:rsidR="00543727" w:rsidRPr="00E7752C" w:rsidRDefault="00543727" w:rsidP="00E7752C">
      <w:r>
        <w:tab/>
        <w:t xml:space="preserve">This bill would establish the invalidated regulatory requirement as a matter of law by expressly providing that, in order to qualify for the de </w:t>
      </w:r>
      <w:proofErr w:type="spellStart"/>
      <w:r>
        <w:t>minimis</w:t>
      </w:r>
      <w:proofErr w:type="spellEnd"/>
      <w:r>
        <w:t xml:space="preserve"> exemption from ISRA, the owner or operator </w:t>
      </w:r>
      <w:r w:rsidRPr="00B76F30">
        <w:t xml:space="preserve">of </w:t>
      </w:r>
      <w:r>
        <w:t xml:space="preserve">an </w:t>
      </w:r>
      <w:r w:rsidRPr="00B76F30">
        <w:t xml:space="preserve">industrial establishment </w:t>
      </w:r>
      <w:r>
        <w:t xml:space="preserve">would be required </w:t>
      </w:r>
      <w:r w:rsidRPr="00B76F30">
        <w:t xml:space="preserve">to certify </w:t>
      </w:r>
      <w:r>
        <w:t>to the department that</w:t>
      </w:r>
      <w:r w:rsidRPr="0094289F">
        <w:t xml:space="preserve"> </w:t>
      </w:r>
      <w:r>
        <w:t xml:space="preserve">the owner or operator does not have actual knowledge of any </w:t>
      </w:r>
      <w:r w:rsidRPr="003C3713">
        <w:t xml:space="preserve">contamination at the industrial establishment </w:t>
      </w:r>
      <w:r>
        <w:t xml:space="preserve">above </w:t>
      </w:r>
      <w:r w:rsidRPr="003C3713">
        <w:t>remediation standards</w:t>
      </w:r>
      <w:r>
        <w:t>.</w:t>
      </w:r>
    </w:p>
    <w:sectPr w:rsidR="00543727" w:rsidRPr="00E7752C" w:rsidSect="0025770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C6A" w:rsidRDefault="000B7C6A">
      <w:r>
        <w:separator/>
      </w:r>
    </w:p>
  </w:endnote>
  <w:endnote w:type="continuationSeparator" w:id="0">
    <w:p w:rsidR="000B7C6A" w:rsidRDefault="000B7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707" w:rsidRPr="00921C91" w:rsidRDefault="002577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7707" w:rsidRPr="00921C91" w:rsidRDefault="00257707">
    <w:pPr>
      <w:pStyle w:val="Footer"/>
      <w:rPr>
        <w:szCs w:val="18"/>
      </w:rPr>
    </w:pPr>
  </w:p>
  <w:p w:rsidR="00257707" w:rsidRPr="00921C91" w:rsidRDefault="002577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7707" w:rsidRDefault="0025770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C6A" w:rsidRDefault="000B7C6A">
      <w:r>
        <w:separator/>
      </w:r>
    </w:p>
  </w:footnote>
  <w:footnote w:type="continuationSeparator" w:id="0">
    <w:p w:rsidR="000B7C6A" w:rsidRDefault="000B7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2C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7707" w:rsidRDefault="00257707" w:rsidP="00257707">
    <w:pPr>
      <w:pStyle w:val="bpuHeadSpon"/>
    </w:pPr>
    <w:r w:rsidRPr="00257707">
      <w:rPr>
        <w:rStyle w:val="bpuHeadSponChar"/>
      </w:rPr>
      <w:t>A2044</w:t>
    </w:r>
    <w:r>
      <w:t xml:space="preserve"> PINTOR MARIN</w:t>
    </w:r>
  </w:p>
  <w:p w:rsidR="00257707" w:rsidRDefault="00257707" w:rsidP="00257707">
    <w:pPr>
      <w:pStyle w:val="bpuHeadSpon"/>
    </w:pPr>
    <w:r>
      <w:fldChar w:fldCharType="begin"/>
    </w:r>
    <w:r>
      <w:instrText xml:space="preserve"> PAGE  \* MERGEFORMAT </w:instrText>
    </w:r>
    <w:r>
      <w:fldChar w:fldCharType="separate"/>
    </w:r>
    <w:r w:rsidR="00D32C2E">
      <w:rPr>
        <w:noProof/>
      </w:rPr>
      <w:t>3</w:t>
    </w:r>
    <w:r>
      <w:fldChar w:fldCharType="end"/>
    </w:r>
  </w:p>
  <w:p w:rsidR="00257707" w:rsidRPr="00AF575C" w:rsidRDefault="00257707" w:rsidP="002577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7707" w:rsidRDefault="00257707" w:rsidP="00257707">
    <w:pPr>
      <w:pStyle w:val="bpuHeadSpon"/>
    </w:pPr>
    <w:r w:rsidRPr="00257707">
      <w:rPr>
        <w:rStyle w:val="bpuHeadSponChar"/>
      </w:rPr>
      <w:t>A2044</w:t>
    </w:r>
    <w:r>
      <w:t xml:space="preserve"> PINTOR MARIN</w:t>
    </w:r>
  </w:p>
  <w:p w:rsidR="00257707" w:rsidRDefault="00257707" w:rsidP="00257707">
    <w:pPr>
      <w:pStyle w:val="bpuHeadSpon"/>
    </w:pPr>
    <w:r>
      <w:fldChar w:fldCharType="begin"/>
    </w:r>
    <w:r>
      <w:instrText xml:space="preserve"> PAGE  \* MERGEFORMAT </w:instrText>
    </w:r>
    <w:r>
      <w:fldChar w:fldCharType="separate"/>
    </w:r>
    <w:r w:rsidR="00D32C2E">
      <w:rPr>
        <w:noProof/>
      </w:rPr>
      <w:t>2</w:t>
    </w:r>
    <w:r>
      <w:fldChar w:fldCharType="end"/>
    </w:r>
  </w:p>
  <w:p w:rsidR="00257707" w:rsidRDefault="00257707" w:rsidP="002577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C6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C6A"/>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707"/>
    <w:rsid w:val="0026254F"/>
    <w:rsid w:val="00266FB9"/>
    <w:rsid w:val="00274341"/>
    <w:rsid w:val="0028159B"/>
    <w:rsid w:val="00296363"/>
    <w:rsid w:val="002A16E7"/>
    <w:rsid w:val="002A71FA"/>
    <w:rsid w:val="002B4DA4"/>
    <w:rsid w:val="002B67F7"/>
    <w:rsid w:val="002C58D4"/>
    <w:rsid w:val="002E1440"/>
    <w:rsid w:val="002E2980"/>
    <w:rsid w:val="00300A8A"/>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727"/>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CE6"/>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056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6BE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042"/>
    <w:rsid w:val="00D1283E"/>
    <w:rsid w:val="00D158BB"/>
    <w:rsid w:val="00D169D8"/>
    <w:rsid w:val="00D209A5"/>
    <w:rsid w:val="00D23780"/>
    <w:rsid w:val="00D31191"/>
    <w:rsid w:val="00D32C2E"/>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A9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50D19E0-195E-4804-8B82-4909CF09F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00A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0A8A"/>
    <w:rPr>
      <w:rFonts w:ascii="Segoe UI" w:hAnsi="Segoe UI" w:cs="Segoe UI"/>
      <w:spacing w:val="4"/>
      <w:sz w:val="18"/>
      <w:szCs w:val="18"/>
    </w:rPr>
  </w:style>
  <w:style w:type="character" w:styleId="LineNumber">
    <w:name w:val="line number"/>
    <w:basedOn w:val="DefaultParagraphFont"/>
    <w:semiHidden/>
    <w:unhideWhenUsed/>
    <w:rsid w:val="00257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62319-F862-4507-B6B6-4897C26C1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521</Words>
  <Characters>2932</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A2044</vt:lpstr>
    </vt:vector>
  </TitlesOfParts>
  <Manager>R56</Manager>
  <Company>OFFICE of LEGISLATIVE SERVICES</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A2044</dc:title>
  <dc:creator>Assemblywoman  PINTOR MARIN</dc:creator>
  <cp:keywords>A2044|3|RF |265|0|0|!|0|</cp:keywords>
  <dc:description>PREFILED 2020</dc:description>
  <cp:lastModifiedBy>Todaro, Vivian</cp:lastModifiedBy>
  <cp:revision>2</cp:revision>
  <cp:lastPrinted>2020-01-11T18:57:00Z</cp:lastPrinted>
  <dcterms:created xsi:type="dcterms:W3CDTF">2020-01-11T22:48:00Z</dcterms:created>
  <dcterms:modified xsi:type="dcterms:W3CDTF">2020-01-11T22:48:00Z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