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C01" w:rsidRDefault="005F2C01" w:rsidP="005F2C01">
      <w:pPr>
        <w:pStyle w:val="bpuBill"/>
      </w:pPr>
      <w:bookmarkStart w:id="0" w:name="bpuFrontPg"/>
      <w:bookmarkStart w:id="1" w:name="_GoBack"/>
      <w:bookmarkEnd w:id="0"/>
      <w:bookmarkEnd w:id="1"/>
      <w:r>
        <w:t xml:space="preserve">ASSEMBLY, No. 2055 </w:t>
      </w:r>
    </w:p>
    <w:p w:rsidR="005F2C01" w:rsidRPr="005F2C01" w:rsidRDefault="005F2C01" w:rsidP="005F2C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263" r:id="rId8"/>
        </w:object>
      </w:r>
    </w:p>
    <w:p w:rsidR="005F2C01" w:rsidRDefault="005F2C01" w:rsidP="005F2C01">
      <w:pPr>
        <w:pStyle w:val="bpuState"/>
      </w:pPr>
      <w:r>
        <w:t>STATE OF NEW JERSEY</w:t>
      </w:r>
    </w:p>
    <w:p w:rsidR="005F2C01" w:rsidRDefault="005F2C01" w:rsidP="005F2C01">
      <w:pPr>
        <w:pStyle w:val="bpuLegislature"/>
      </w:pPr>
      <w:r>
        <w:t>219th LEGISLATURE</w:t>
      </w:r>
    </w:p>
    <w:p w:rsidR="005F2C01" w:rsidRDefault="005F2C01" w:rsidP="005F2C01">
      <w:pPr>
        <w:pStyle w:val="bpuWpGraphic"/>
      </w:pPr>
      <w:r>
        <w:object w:dxaOrig="8985" w:dyaOrig="255">
          <v:shape id="_x0000_i1026" type="#_x0000_t75" style="width:6in;height:12pt" o:ole="">
            <v:imagedata r:id="rId7" o:title=""/>
          </v:shape>
          <o:OLEObject Type="Embed" ProgID="WPWin6.1" ShapeID="_x0000_i1026" DrawAspect="Content" ObjectID="_1640271264" r:id="rId9"/>
        </w:object>
      </w:r>
      <w:r>
        <w:t xml:space="preserve">  </w:t>
      </w:r>
    </w:p>
    <w:p w:rsidR="005F2C01" w:rsidRDefault="005F2C01" w:rsidP="005F2C01">
      <w:pPr>
        <w:pStyle w:val="bpuIntro"/>
      </w:pPr>
      <w:r>
        <w:t>PRE-FILED FOR INTRODUCTION IN THE 2020 SESSION</w:t>
      </w:r>
    </w:p>
    <w:p w:rsidR="005F2C01" w:rsidRDefault="005F2C01" w:rsidP="005F2C01">
      <w:pPr>
        <w:pStyle w:val="bpuIntro"/>
      </w:pPr>
    </w:p>
    <w:p w:rsidR="005F2C01" w:rsidRDefault="005F2C01" w:rsidP="005F2C01">
      <w:pPr>
        <w:pStyle w:val="bpuIntro"/>
        <w:sectPr w:rsidR="005F2C01" w:rsidSect="005F2C01">
          <w:headerReference w:type="even" r:id="rId10"/>
          <w:headerReference w:type="default" r:id="rId11"/>
          <w:pgSz w:w="12240" w:h="20160" w:code="5"/>
          <w:pgMar w:top="2160" w:right="1440" w:bottom="1440" w:left="1440" w:header="720" w:footer="720" w:gutter="0"/>
          <w:pgNumType w:start="1"/>
          <w:cols w:space="720"/>
          <w:docGrid w:linePitch="360"/>
        </w:sectPr>
      </w:pPr>
    </w:p>
    <w:p w:rsidR="005F2C01" w:rsidRDefault="005F2C01" w:rsidP="005F2C01">
      <w:pPr>
        <w:pStyle w:val="bpuIntro"/>
      </w:pPr>
    </w:p>
    <w:p w:rsidR="005F2C01" w:rsidRDefault="005F2C01" w:rsidP="005F2C01">
      <w:pPr>
        <w:pStyle w:val="bpuSponsor"/>
      </w:pPr>
      <w:r>
        <w:t>Sponsored by:</w:t>
      </w:r>
    </w:p>
    <w:p w:rsidR="005F2C01" w:rsidRDefault="005F2C01" w:rsidP="005F2C01">
      <w:pPr>
        <w:pStyle w:val="bpuSponsor"/>
      </w:pPr>
      <w:r>
        <w:t>Assemblywoman  ELIANA PINTOR MARIN</w:t>
      </w:r>
    </w:p>
    <w:p w:rsidR="005F2C01" w:rsidRDefault="005F2C01" w:rsidP="005F2C01">
      <w:pPr>
        <w:pStyle w:val="bpuSponsor"/>
      </w:pPr>
      <w:r>
        <w:t>District 29 (Essex)</w:t>
      </w:r>
    </w:p>
    <w:p w:rsidR="005F2C01" w:rsidRDefault="005F2C01" w:rsidP="005F2C01">
      <w:pPr>
        <w:pStyle w:val="bpuSponsor"/>
      </w:pPr>
      <w:r>
        <w:t>Assemblyman  ROY FREIMAN</w:t>
      </w:r>
    </w:p>
    <w:p w:rsidR="005F2C01" w:rsidRDefault="005F2C01" w:rsidP="005F2C01">
      <w:pPr>
        <w:pStyle w:val="bpuSponsor"/>
      </w:pPr>
      <w:r>
        <w:t>District 16 (Hunterdon, Mercer, Middlesex and Somerset)</w:t>
      </w:r>
    </w:p>
    <w:p w:rsidR="005F2C01" w:rsidRDefault="005F2C01" w:rsidP="005F2C01">
      <w:pPr>
        <w:pStyle w:val="bpuSponsor"/>
      </w:pPr>
      <w:r>
        <w:t>Assemblyman  RONALD S. DANCER</w:t>
      </w:r>
    </w:p>
    <w:p w:rsidR="005F2C01" w:rsidRDefault="005F2C01" w:rsidP="005F2C01">
      <w:pPr>
        <w:pStyle w:val="bpuSponsor"/>
      </w:pPr>
      <w:r>
        <w:t>District 12 (Burlington, Middlesex, Monmouth and Ocean)</w:t>
      </w:r>
    </w:p>
    <w:p w:rsidR="005F2C01" w:rsidRDefault="005F2C01" w:rsidP="005F2C01">
      <w:pPr>
        <w:pStyle w:val="bpuSponsor"/>
      </w:pPr>
    </w:p>
    <w:p w:rsidR="005F2C01" w:rsidRDefault="005F2C01" w:rsidP="005F2C01">
      <w:pPr>
        <w:pStyle w:val="bpuSponsor"/>
      </w:pPr>
    </w:p>
    <w:p w:rsidR="005F2C01" w:rsidRDefault="005F2C01" w:rsidP="005F2C01">
      <w:pPr>
        <w:pStyle w:val="bpuSponsor"/>
      </w:pPr>
    </w:p>
    <w:p w:rsidR="005F2C01" w:rsidRDefault="005F2C01" w:rsidP="005F2C01">
      <w:pPr>
        <w:pStyle w:val="bpuSponsor"/>
      </w:pPr>
    </w:p>
    <w:p w:rsidR="005F2C01" w:rsidRDefault="005F2C01" w:rsidP="005F2C01">
      <w:pPr>
        <w:pStyle w:val="bpuSponsor"/>
      </w:pPr>
      <w:r>
        <w:t>SYNOPSIS</w:t>
      </w:r>
    </w:p>
    <w:p w:rsidR="005F2C01" w:rsidRDefault="005F2C01" w:rsidP="005F2C01">
      <w:pPr>
        <w:pStyle w:val="bpuNormText"/>
      </w:pPr>
      <w:r>
        <w:tab/>
        <w:t xml:space="preserve">Extends the application deadlines for the Grow NJ Assistance Program and the State and local Economic Redevelopment and Growth Grant programs. </w:t>
      </w:r>
    </w:p>
    <w:p w:rsidR="005F2C01" w:rsidRDefault="005F2C01" w:rsidP="005F2C01">
      <w:pPr>
        <w:pStyle w:val="bpuNormText"/>
      </w:pPr>
    </w:p>
    <w:p w:rsidR="005F2C01" w:rsidRDefault="005F2C01" w:rsidP="005F2C01">
      <w:pPr>
        <w:pStyle w:val="bpuSponsor"/>
      </w:pPr>
      <w:r>
        <w:t xml:space="preserve">CURRENT VERSION OF TEXT </w:t>
      </w:r>
    </w:p>
    <w:p w:rsidR="005F2C01" w:rsidRDefault="005F2C01" w:rsidP="005F2C01">
      <w:pPr>
        <w:pStyle w:val="bpuNormText"/>
      </w:pPr>
      <w:r>
        <w:tab/>
        <w:t>Introduced Pending Technical Review by Legislative Counsel.</w:t>
      </w:r>
    </w:p>
    <w:p w:rsidR="005F2C01" w:rsidRDefault="005F2C01" w:rsidP="005F2C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2C01" w:rsidRDefault="005F2C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2C01" w:rsidSect="005F2C01">
          <w:type w:val="continuous"/>
          <w:pgSz w:w="12240" w:h="20160" w:code="5"/>
          <w:pgMar w:top="2160" w:right="2275" w:bottom="1440" w:left="2275" w:header="72" w:footer="720" w:gutter="0"/>
          <w:pgNumType w:start="1"/>
          <w:cols w:space="720"/>
          <w:docGrid w:linePitch="360"/>
        </w:sectPr>
      </w:pPr>
    </w:p>
    <w:p w:rsidR="001202FC" w:rsidRPr="00677316" w:rsidRDefault="001202FC" w:rsidP="001202FC">
      <w:pPr>
        <w:pStyle w:val="HangingAnAct"/>
        <w:rPr>
          <w:rStyle w:val="HangingAnActChar"/>
        </w:rPr>
      </w:pPr>
      <w:r w:rsidRPr="001202FC">
        <w:rPr>
          <w:rStyle w:val="BillHead"/>
        </w:rPr>
        <w:lastRenderedPageBreak/>
        <w:t>An Act</w:t>
      </w:r>
      <w:r w:rsidRPr="006B7FA7">
        <w:rPr>
          <w:rStyle w:val="HangingAnActChar"/>
        </w:rPr>
        <w:t xml:space="preserve"> </w:t>
      </w:r>
      <w:r>
        <w:rPr>
          <w:rStyle w:val="HangingAnActChar"/>
        </w:rPr>
        <w:t>extending the application deadlines for certain economic development programs, and amending various parts of the statutory law.</w:t>
      </w:r>
    </w:p>
    <w:p w:rsidR="001202FC" w:rsidRPr="00D71D68" w:rsidRDefault="001202FC" w:rsidP="001202FC"/>
    <w:p w:rsidR="001202FC" w:rsidRPr="00AA7880" w:rsidRDefault="001202FC" w:rsidP="001202FC">
      <w:r>
        <w:tab/>
      </w:r>
      <w:r>
        <w:rPr>
          <w:rStyle w:val="BillHeading2"/>
        </w:rPr>
        <w:t xml:space="preserve">Be It Enacted </w:t>
      </w:r>
      <w:r>
        <w:rPr>
          <w:rStyle w:val="BillLanguage"/>
        </w:rPr>
        <w:t>by the Senate and General Assembly of the State of New Jersey:</w:t>
      </w:r>
    </w:p>
    <w:p w:rsidR="001202FC" w:rsidRPr="00D71D68" w:rsidRDefault="001202FC" w:rsidP="001202FC"/>
    <w:p w:rsidR="001202FC" w:rsidRPr="00F47EF3" w:rsidRDefault="001202FC" w:rsidP="001202FC">
      <w:r w:rsidRPr="00F47EF3">
        <w:tab/>
        <w:t>1.</w:t>
      </w:r>
      <w:r w:rsidRPr="00F47EF3">
        <w:tab/>
        <w:t>Section 6 of P.L.2011, c.149 (C.34:1B-247) is amended to read as follows:</w:t>
      </w:r>
    </w:p>
    <w:p w:rsidR="001202FC" w:rsidRPr="00F47EF3" w:rsidRDefault="001202FC" w:rsidP="001202FC">
      <w:pPr>
        <w:tabs>
          <w:tab w:val="clear" w:pos="1440"/>
          <w:tab w:val="left" w:pos="1080"/>
        </w:tabs>
      </w:pPr>
      <w:r w:rsidRPr="00F47EF3">
        <w:tab/>
        <w:t>6.</w:t>
      </w:r>
      <w:r w:rsidRPr="00F47EF3">
        <w:tab/>
        <w:t>a.</w:t>
      </w:r>
      <w:r>
        <w:tab/>
      </w:r>
      <w:r w:rsidRPr="00F47EF3">
        <w:t xml:space="preserve">(1) </w:t>
      </w:r>
      <w:r>
        <w:t xml:space="preserve"> </w:t>
      </w:r>
      <w:r w:rsidRPr="00F47EF3">
        <w:t>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1202FC" w:rsidRPr="00F47EF3" w:rsidRDefault="001202FC" w:rsidP="001202FC">
      <w:r w:rsidRPr="00F47EF3">
        <w:tab/>
        <w:t>(2)</w:t>
      </w:r>
      <w:r w:rsidRPr="00F47EF3">
        <w:tab/>
        <w:t>(Deleted by amendment, P.L.2013, c.161)</w:t>
      </w:r>
    </w:p>
    <w:p w:rsidR="001202FC" w:rsidRPr="00F47EF3" w:rsidRDefault="001202FC" w:rsidP="001202FC">
      <w:r w:rsidRPr="00F47EF3">
        <w:tab/>
        <w:t>(3)</w:t>
      </w:r>
      <w:r w:rsidRPr="00F47EF3">
        <w:tab/>
        <w:t xml:space="preserve">(Deleted by amendment, P.L.2013, c.161) </w:t>
      </w:r>
    </w:p>
    <w:p w:rsidR="001202FC" w:rsidRPr="00F47EF3" w:rsidRDefault="001202FC" w:rsidP="001202FC">
      <w:r w:rsidRPr="00F47EF3">
        <w:tab/>
        <w:t>(4)</w:t>
      </w:r>
      <w:r w:rsidRPr="00F47EF3">
        <w:tab/>
        <w:t xml:space="preserve">(Deleted by amendment, P.L.2013, c.161) </w:t>
      </w:r>
    </w:p>
    <w:p w:rsidR="001202FC" w:rsidRPr="00F47EF3" w:rsidRDefault="001202FC" w:rsidP="001202FC">
      <w:r w:rsidRPr="00F47EF3">
        <w:tab/>
        <w:t>(5)</w:t>
      </w:r>
      <w:r w:rsidRPr="00F47EF3">
        <w:tab/>
        <w:t xml:space="preserve">(Deleted by amendment, P.L.2013, c.161) </w:t>
      </w:r>
    </w:p>
    <w:p w:rsidR="001202FC" w:rsidRPr="00F47EF3" w:rsidRDefault="001202FC" w:rsidP="001202FC">
      <w:r w:rsidRPr="00F47EF3">
        <w:tab/>
      </w:r>
      <w:r>
        <w:t xml:space="preserve"> </w:t>
      </w:r>
      <w:r w:rsidRPr="00F47EF3">
        <w:t>b.</w:t>
      </w:r>
      <w:r w:rsidRPr="00F47EF3">
        <w:tab/>
        <w:t xml:space="preserve">(1) A business shall submit an application for tax credits prior to </w:t>
      </w:r>
      <w:r w:rsidR="0057029E" w:rsidRPr="0057029E">
        <w:rPr>
          <w:rFonts w:ascii="Albertus Extra Bold" w:hAnsi="Albertus Extra Bold"/>
          <w:b/>
        </w:rPr>
        <w:t>[</w:t>
      </w:r>
      <w:r w:rsidR="0057029E">
        <w:t>July 1</w:t>
      </w:r>
      <w:r w:rsidR="0057029E" w:rsidRPr="0057029E">
        <w:rPr>
          <w:rFonts w:ascii="Albertus Extra Bold" w:hAnsi="Albertus Extra Bold"/>
          <w:b/>
        </w:rPr>
        <w:t>]</w:t>
      </w:r>
      <w:r w:rsidR="0057029E">
        <w:t xml:space="preserve"> </w:t>
      </w:r>
      <w:r w:rsidRPr="0057029E">
        <w:rPr>
          <w:u w:val="single"/>
        </w:rPr>
        <w:t>January 31</w:t>
      </w:r>
      <w:r w:rsidRPr="00F47EF3">
        <w:t xml:space="preserve">, </w:t>
      </w:r>
      <w:r w:rsidRPr="00F47EF3">
        <w:rPr>
          <w:rFonts w:ascii="Albertus Extra Bold" w:hAnsi="Albertus Extra Bold"/>
          <w:b/>
        </w:rPr>
        <w:t>[</w:t>
      </w:r>
      <w:r w:rsidRPr="00F47EF3">
        <w:t>2019</w:t>
      </w:r>
      <w:r w:rsidRPr="00F47EF3">
        <w:rPr>
          <w:rFonts w:ascii="Albertus Extra Bold" w:hAnsi="Albertus Extra Bold"/>
          <w:b/>
        </w:rPr>
        <w:t>]</w:t>
      </w:r>
      <w:r w:rsidRPr="00F47EF3">
        <w:t xml:space="preserve"> </w:t>
      </w:r>
      <w:r w:rsidRPr="00F47EF3">
        <w:rPr>
          <w:u w:val="single"/>
        </w:rPr>
        <w:t>2020</w:t>
      </w:r>
      <w:r w:rsidRPr="00F47EF3">
        <w:t xml:space="preserve">.  The authority shall not approve an application for tax credits unless the application was submitted prior to </w:t>
      </w:r>
      <w:r w:rsidR="0057029E" w:rsidRPr="0057029E">
        <w:rPr>
          <w:rFonts w:ascii="Albertus Extra Bold" w:hAnsi="Albertus Extra Bold"/>
          <w:b/>
        </w:rPr>
        <w:t>[</w:t>
      </w:r>
      <w:r w:rsidR="0057029E">
        <w:t>July 1</w:t>
      </w:r>
      <w:r w:rsidR="0057029E" w:rsidRPr="0057029E">
        <w:rPr>
          <w:rFonts w:ascii="Albertus Extra Bold" w:hAnsi="Albertus Extra Bold"/>
          <w:b/>
        </w:rPr>
        <w:t>]</w:t>
      </w:r>
      <w:r w:rsidR="0057029E" w:rsidRPr="0057029E">
        <w:t xml:space="preserve"> </w:t>
      </w:r>
      <w:r w:rsidRPr="0057029E">
        <w:rPr>
          <w:u w:val="single"/>
        </w:rPr>
        <w:t>January 31</w:t>
      </w:r>
      <w:r w:rsidRPr="00F47EF3">
        <w:t xml:space="preserve">, </w:t>
      </w:r>
      <w:r w:rsidRPr="00F47EF3">
        <w:rPr>
          <w:rFonts w:ascii="Albertus Extra Bold" w:hAnsi="Albertus Extra Bold"/>
          <w:b/>
        </w:rPr>
        <w:t>[</w:t>
      </w:r>
      <w:r w:rsidRPr="00F47EF3">
        <w:t>2019</w:t>
      </w:r>
      <w:r w:rsidRPr="00F47EF3">
        <w:rPr>
          <w:rFonts w:ascii="Albertus Extra Bold" w:hAnsi="Albertus Extra Bold"/>
          <w:b/>
        </w:rPr>
        <w:t>]</w:t>
      </w:r>
      <w:r w:rsidRPr="00F47EF3">
        <w:t xml:space="preserve"> </w:t>
      </w:r>
      <w:r w:rsidRPr="00F47EF3">
        <w:rPr>
          <w:u w:val="single"/>
        </w:rPr>
        <w:t>2020</w:t>
      </w:r>
      <w:r w:rsidRPr="00F47EF3">
        <w:t xml:space="preserve">.  </w:t>
      </w:r>
    </w:p>
    <w:p w:rsidR="001202FC" w:rsidRPr="00F47EF3" w:rsidRDefault="001202FC" w:rsidP="001202FC">
      <w:pPr>
        <w:tabs>
          <w:tab w:val="clear" w:pos="1440"/>
          <w:tab w:val="left" w:pos="1170"/>
        </w:tabs>
      </w:pPr>
      <w:r w:rsidRPr="00F47EF3">
        <w:tab/>
        <w:t>(2)</w:t>
      </w:r>
      <w:r w:rsidRPr="00F47EF3">
        <w:tab/>
        <w:t>(a)</w:t>
      </w:r>
      <w:r>
        <w:tab/>
      </w:r>
      <w:r w:rsidRPr="00F47EF3">
        <w:t>A business shall submit its documentation indicating that it has met the capital investment and employment requirements specified in the incentive agreement for certification of its tax credit amount within three years following the date of approval of its application by the authority.  The authority shall have the discretion to grant two six-month extensions of this deadline.  Except as provided in subparagraph (b) of this paragraph, in no event shall the incentive effective date occur later than four years following the date of approval of an application by the authority.</w:t>
      </w:r>
    </w:p>
    <w:p w:rsidR="001202FC" w:rsidRPr="00F47EF3" w:rsidRDefault="001202FC" w:rsidP="001202FC">
      <w:r w:rsidRPr="00F47EF3">
        <w:tab/>
        <w:t>(b)</w:t>
      </w:r>
      <w:r w:rsidRPr="00F47EF3">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rsidR="001202FC" w:rsidRPr="00F47EF3" w:rsidRDefault="001202FC" w:rsidP="001202FC">
      <w:r w:rsidRPr="00F47EF3">
        <w:tab/>
        <w:t>(3)</w:t>
      </w:r>
      <w:r w:rsidRPr="00F47EF3">
        <w:tab/>
        <w:t>Full-time employment for an accounting or privilege period shall be determined as the average of the monthly full-time employment for the period.</w:t>
      </w:r>
    </w:p>
    <w:p w:rsidR="001202FC" w:rsidRPr="00F47EF3" w:rsidRDefault="001202FC" w:rsidP="001202FC">
      <w:r w:rsidRPr="00F47EF3">
        <w:tab/>
        <w:t>(4)</w:t>
      </w:r>
      <w:r w:rsidRPr="00F47EF3">
        <w:tab/>
        <w:t>A business seeking a credit for a mega project shall apply for the credit within four years after the effective date of the "New Jersey Economic Opportunity Act of 2013," P.L.2013, c.161 (C.52:27D-489p et al.).</w:t>
      </w:r>
    </w:p>
    <w:p w:rsidR="001202FC" w:rsidRPr="00F47EF3" w:rsidRDefault="001202FC" w:rsidP="001202FC">
      <w:r w:rsidRPr="00F47EF3">
        <w:tab/>
      </w:r>
      <w:r>
        <w:t xml:space="preserve"> </w:t>
      </w:r>
      <w:r w:rsidRPr="00F47EF3">
        <w:t>c.</w:t>
      </w:r>
      <w:r w:rsidRPr="00F47EF3">
        <w:tab/>
        <w:t>(1) In conducting its annual review, the authority may require a business to submit any information determined by the authority to be necessary and relevant to its review.</w:t>
      </w:r>
    </w:p>
    <w:p w:rsidR="001202FC" w:rsidRPr="00F47EF3" w:rsidRDefault="001202FC" w:rsidP="001202FC">
      <w:r w:rsidRPr="00F47EF3">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1202FC" w:rsidRPr="00F47EF3" w:rsidRDefault="001202FC" w:rsidP="001202FC">
      <w:r w:rsidRPr="00F47EF3">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rsidR="001202FC" w:rsidRPr="00F47EF3" w:rsidRDefault="001202FC" w:rsidP="001202FC">
      <w:r w:rsidRPr="00F47EF3">
        <w:tab/>
        <w:t>(2)</w:t>
      </w:r>
      <w:r w:rsidRPr="00F47EF3">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1202FC" w:rsidRPr="00F47EF3" w:rsidRDefault="001202FC" w:rsidP="001202FC">
      <w:r w:rsidRPr="00F47EF3">
        <w:tab/>
        <w:t>(3)</w:t>
      </w:r>
      <w:r w:rsidRPr="00F47EF3">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1202FC" w:rsidRPr="00F47EF3" w:rsidRDefault="001202FC" w:rsidP="001202FC">
      <w:r w:rsidRPr="00F47EF3">
        <w:tab/>
      </w:r>
      <w:r>
        <w:t xml:space="preserve"> </w:t>
      </w:r>
      <w:r w:rsidRPr="00F47EF3">
        <w:t>d.</w:t>
      </w:r>
      <w:r w:rsidRPr="00F47EF3">
        <w:tab/>
        <w:t>(1)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1202FC" w:rsidRPr="00F47EF3" w:rsidRDefault="001202FC" w:rsidP="001202FC">
      <w:r w:rsidRPr="00F47EF3">
        <w:tab/>
        <w:t>(2)</w:t>
      </w:r>
      <w:r w:rsidRPr="00F47EF3">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rsidR="001202FC" w:rsidRPr="00F47EF3" w:rsidRDefault="001202FC" w:rsidP="001202FC">
      <w:r w:rsidRPr="00F47EF3">
        <w:tab/>
        <w:t>(3)</w:t>
      </w:r>
      <w:r w:rsidRPr="00F47EF3">
        <w:tab/>
        <w:t>(a)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rsidR="001202FC" w:rsidRPr="00F47EF3" w:rsidRDefault="001202FC" w:rsidP="001202FC">
      <w:r w:rsidRPr="00F47EF3">
        <w:tab/>
        <w:t>(b)</w:t>
      </w:r>
      <w:r w:rsidRPr="00F47EF3">
        <w:tab/>
        <w:t>In connection with a regional distribution facility of foodstuffs, the business entity or entities which own or lease the facility shall qualify as a business regardless of: (</w:t>
      </w:r>
      <w:proofErr w:type="spellStart"/>
      <w:r w:rsidRPr="00F47EF3">
        <w:t>i</w:t>
      </w:r>
      <w:proofErr w:type="spellEnd"/>
      <w:r w:rsidRPr="00F47EF3">
        <w:t>)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1202FC" w:rsidRPr="00F47EF3" w:rsidRDefault="001202FC" w:rsidP="001202FC">
      <w:r w:rsidRPr="00F47EF3">
        <w:tab/>
        <w:t>(4)</w:t>
      </w:r>
      <w:r w:rsidRPr="00F47EF3">
        <w:tab/>
        <w:t>(a) 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1202FC" w:rsidRPr="00F47EF3" w:rsidRDefault="001202FC" w:rsidP="001202FC">
      <w:r w:rsidRPr="00F47EF3">
        <w:tab/>
        <w:t>(b)</w:t>
      </w:r>
      <w:r w:rsidRPr="00F47EF3">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rsidRPr="00F47EF3">
        <w:t>subsubparagraph</w:t>
      </w:r>
      <w:proofErr w:type="spellEnd"/>
      <w:r w:rsidRPr="00F47EF3">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rsidRPr="00F47EF3">
        <w:t>subsubparagraph</w:t>
      </w:r>
      <w:proofErr w:type="spellEnd"/>
      <w:r w:rsidRPr="00F47EF3">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rsidR="001202FC" w:rsidRPr="00F47EF3" w:rsidRDefault="001202FC" w:rsidP="001202FC">
      <w:r w:rsidRPr="00F47EF3">
        <w:tab/>
      </w:r>
      <w:r>
        <w:t xml:space="preserve"> </w:t>
      </w:r>
      <w:r w:rsidRPr="00F47EF3">
        <w:t>e.</w:t>
      </w:r>
      <w:r w:rsidRPr="00F47EF3">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rsidR="001202FC" w:rsidRPr="00F47EF3" w:rsidRDefault="001202FC" w:rsidP="001202FC">
      <w:r w:rsidRPr="00F47EF3">
        <w:tab/>
        <w:t>(1)</w:t>
      </w:r>
      <w:r w:rsidRPr="00F47EF3">
        <w:tab/>
        <w:t>the business has satisfied all of its obligations underlying the previous award of incentives or is compliant with section 4 of P.L.2011, c.149 (C.34:1B-245); or</w:t>
      </w:r>
    </w:p>
    <w:p w:rsidR="001202FC" w:rsidRPr="00F47EF3" w:rsidRDefault="001202FC" w:rsidP="001202FC">
      <w:r w:rsidRPr="00F47EF3">
        <w:tab/>
        <w:t>(2)</w:t>
      </w:r>
      <w:r w:rsidRPr="00F47EF3">
        <w:tab/>
        <w:t>the capital investment incurred and new or retained full-time jobs pledged by the business in the new incentive agreement are separate and apart from any capital investment or jobs underlying the previous award of incentives.</w:t>
      </w:r>
    </w:p>
    <w:p w:rsidR="001202FC" w:rsidRPr="00F47EF3" w:rsidRDefault="001202FC" w:rsidP="001202FC">
      <w:r w:rsidRPr="00F47EF3">
        <w:tab/>
      </w:r>
      <w:r>
        <w:t xml:space="preserve"> </w:t>
      </w:r>
      <w:r w:rsidRPr="00F47EF3">
        <w:t>f.</w:t>
      </w:r>
      <w:r w:rsidRPr="00F47EF3">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1202FC" w:rsidRPr="00F47EF3" w:rsidRDefault="001202FC" w:rsidP="001202FC">
      <w:r w:rsidRPr="00F47EF3">
        <w:t>(</w:t>
      </w:r>
      <w:proofErr w:type="spellStart"/>
      <w:r w:rsidRPr="00F47EF3">
        <w:t>cf</w:t>
      </w:r>
      <w:proofErr w:type="spellEnd"/>
      <w:r w:rsidRPr="00F47EF3">
        <w:t>: P.L.2018, c.120, s.3)</w:t>
      </w:r>
    </w:p>
    <w:p w:rsidR="001202FC" w:rsidRDefault="001202FC" w:rsidP="001202FC"/>
    <w:p w:rsidR="001202FC" w:rsidRPr="00F47EF3" w:rsidRDefault="001202FC" w:rsidP="001202FC">
      <w:r w:rsidRPr="00F47EF3">
        <w:tab/>
      </w:r>
      <w:r>
        <w:t xml:space="preserve"> </w:t>
      </w:r>
      <w:r w:rsidRPr="00F47EF3">
        <w:t>2.</w:t>
      </w:r>
      <w:r w:rsidRPr="00F47EF3">
        <w:tab/>
        <w:t>Section 4 of P.L.2009, c.90 (C.52:27D-489d) is amended to read as follows:</w:t>
      </w:r>
    </w:p>
    <w:p w:rsidR="001202FC" w:rsidRPr="00F47EF3" w:rsidRDefault="001202FC" w:rsidP="001202FC">
      <w:r w:rsidRPr="00F47EF3">
        <w:tab/>
      </w:r>
      <w:r>
        <w:t xml:space="preserve"> </w:t>
      </w:r>
      <w:r w:rsidRPr="00F47EF3">
        <w:t>4.</w:t>
      </w:r>
      <w:r w:rsidRPr="00F47EF3">
        <w:tab/>
        <w:t>a.  The governing body of a municipality wherein is located a qualifying economic redevelopment and growth grant incentive area may adopt an ordinance to establish a local Economic Redevelopment and Growth Grant program for the purpose of encouraging redevelopment projects in that area through the provision of incentive grants to reimburse developers for all or a portion of the project financing gap for such projects.  No local Economic Redevelopment and Growth Grant program shall take effect until the Local Finance Board approves the ordinance.</w:t>
      </w:r>
    </w:p>
    <w:p w:rsidR="001202FC" w:rsidRPr="00F47EF3" w:rsidRDefault="001202FC" w:rsidP="001202FC">
      <w:r w:rsidRPr="00F47EF3">
        <w:tab/>
      </w:r>
      <w:r>
        <w:t xml:space="preserve"> </w:t>
      </w:r>
      <w:r w:rsidRPr="00F47EF3">
        <w:t>b.</w:t>
      </w:r>
      <w:r w:rsidRPr="00F47EF3">
        <w:tab/>
        <w:t xml:space="preserve">A developer shall submit an application for a local incentive grant prior to </w:t>
      </w:r>
      <w:r w:rsidR="0098111B" w:rsidRPr="0098111B">
        <w:rPr>
          <w:rFonts w:ascii="Albertus Extra Bold" w:hAnsi="Albertus Extra Bold"/>
          <w:b/>
        </w:rPr>
        <w:t>[</w:t>
      </w:r>
      <w:r w:rsidR="0098111B">
        <w:t>July 1</w:t>
      </w:r>
      <w:r w:rsidR="0098111B" w:rsidRPr="0098111B">
        <w:rPr>
          <w:rFonts w:ascii="Albertus Extra Bold" w:hAnsi="Albertus Extra Bold"/>
          <w:b/>
        </w:rPr>
        <w:t>]</w:t>
      </w:r>
      <w:r w:rsidR="0098111B">
        <w:rPr>
          <w:rFonts w:ascii="Albertus Extra Bold" w:hAnsi="Albertus Extra Bold"/>
          <w:b/>
        </w:rPr>
        <w:t xml:space="preserve"> </w:t>
      </w:r>
      <w:r w:rsidRPr="00096FA1">
        <w:rPr>
          <w:u w:val="single"/>
        </w:rPr>
        <w:t>January 31</w:t>
      </w:r>
      <w:r w:rsidRPr="00F47EF3">
        <w:t xml:space="preserve">, </w:t>
      </w:r>
      <w:r w:rsidRPr="00F47EF3">
        <w:rPr>
          <w:rFonts w:ascii="Albertus Extra Bold" w:hAnsi="Albertus Extra Bold"/>
          <w:b/>
        </w:rPr>
        <w:t>[</w:t>
      </w:r>
      <w:r w:rsidRPr="00F47EF3">
        <w:t>2019</w:t>
      </w:r>
      <w:r w:rsidRPr="00F47EF3">
        <w:rPr>
          <w:rFonts w:ascii="Albertus Extra Bold" w:hAnsi="Albertus Extra Bold"/>
          <w:b/>
        </w:rPr>
        <w:t>]</w:t>
      </w:r>
      <w:r w:rsidRPr="00F47EF3">
        <w:t xml:space="preserve"> </w:t>
      </w:r>
      <w:r w:rsidRPr="00F47EF3">
        <w:rPr>
          <w:u w:val="single"/>
        </w:rPr>
        <w:t>2020</w:t>
      </w:r>
      <w:r w:rsidRPr="00F47EF3">
        <w:t>.  A developer that submits an application for a local incentive grant shall indicate on the application whether it is also applying for a State incentive grant.  An application by a developer applying for a local incentive grant only shall not require approval by the authority.  A municipal redeveloper may only apply for local incentive grants for the construction of: (1) infrastructure improvements in the public right-of-way, or (2) publicly owned facilities.</w:t>
      </w:r>
    </w:p>
    <w:p w:rsidR="001202FC" w:rsidRPr="00F47EF3" w:rsidRDefault="001202FC" w:rsidP="001202FC">
      <w:r w:rsidRPr="00F47EF3">
        <w:tab/>
      </w:r>
      <w:r>
        <w:t xml:space="preserve"> </w:t>
      </w:r>
      <w:r w:rsidRPr="00F47EF3">
        <w:t>c.</w:t>
      </w:r>
      <w:r w:rsidRPr="00F47EF3">
        <w:tab/>
        <w:t xml:space="preserve">No local incentive grant shall be finally approved by a municipality until approved by the Local Finance Board.  The Local Finance Board shall not approve a local incentive grant unless the application was submitted prior to </w:t>
      </w:r>
      <w:r w:rsidR="0098111B" w:rsidRPr="0098111B">
        <w:rPr>
          <w:rFonts w:ascii="Albertus Extra Bold" w:hAnsi="Albertus Extra Bold"/>
          <w:b/>
        </w:rPr>
        <w:t>[</w:t>
      </w:r>
      <w:r w:rsidR="0098111B">
        <w:t>July 1</w:t>
      </w:r>
      <w:r w:rsidR="0098111B" w:rsidRPr="0098111B">
        <w:rPr>
          <w:rFonts w:ascii="Albertus Extra Bold" w:hAnsi="Albertus Extra Bold"/>
          <w:b/>
        </w:rPr>
        <w:t>]</w:t>
      </w:r>
      <w:r w:rsidR="0098111B">
        <w:rPr>
          <w:rFonts w:ascii="Albertus Extra Bold" w:hAnsi="Albertus Extra Bold"/>
          <w:b/>
        </w:rPr>
        <w:t xml:space="preserve"> </w:t>
      </w:r>
      <w:r w:rsidRPr="00096FA1">
        <w:rPr>
          <w:u w:val="single"/>
        </w:rPr>
        <w:t>January 31</w:t>
      </w:r>
      <w:r w:rsidRPr="00F47EF3">
        <w:t xml:space="preserve">, </w:t>
      </w:r>
      <w:r w:rsidRPr="00F47EF3">
        <w:rPr>
          <w:rFonts w:ascii="Albertus Extra Bold" w:hAnsi="Albertus Extra Bold"/>
          <w:b/>
        </w:rPr>
        <w:t>[</w:t>
      </w:r>
      <w:r w:rsidRPr="00F47EF3">
        <w:t>2019</w:t>
      </w:r>
      <w:r w:rsidRPr="00F47EF3">
        <w:rPr>
          <w:rFonts w:ascii="Albertus Extra Bold" w:hAnsi="Albertus Extra Bold"/>
          <w:b/>
        </w:rPr>
        <w:t>]</w:t>
      </w:r>
      <w:r w:rsidRPr="00F47EF3">
        <w:t xml:space="preserve"> </w:t>
      </w:r>
      <w:r w:rsidRPr="00F47EF3">
        <w:rPr>
          <w:u w:val="single"/>
        </w:rPr>
        <w:t>2020</w:t>
      </w:r>
      <w:r w:rsidRPr="00F47EF3">
        <w:t xml:space="preserve">.  </w:t>
      </w:r>
    </w:p>
    <w:p w:rsidR="001202FC" w:rsidRPr="00F47EF3" w:rsidRDefault="001202FC" w:rsidP="001202FC">
      <w:r w:rsidRPr="00F47EF3">
        <w:tab/>
      </w:r>
      <w:r>
        <w:t xml:space="preserve"> </w:t>
      </w:r>
      <w:r w:rsidRPr="00F47EF3">
        <w:t>d.</w:t>
      </w:r>
      <w:r w:rsidRPr="00F47EF3">
        <w:tab/>
        <w:t>In deciding whether or not to approve a local incentive grant agreement the Local Finance Board shall consider the following factors:</w:t>
      </w:r>
    </w:p>
    <w:p w:rsidR="001202FC" w:rsidRPr="00F47EF3" w:rsidRDefault="001202FC" w:rsidP="001202FC">
      <w:r w:rsidRPr="00F47EF3">
        <w:tab/>
        <w:t>(1)</w:t>
      </w:r>
      <w:r w:rsidRPr="00F47EF3">
        <w:tab/>
        <w:t>the economic feasibility of the redevelopment project;</w:t>
      </w:r>
    </w:p>
    <w:p w:rsidR="001202FC" w:rsidRPr="00F47EF3" w:rsidRDefault="001202FC" w:rsidP="001202FC">
      <w:r w:rsidRPr="00F47EF3">
        <w:tab/>
        <w:t>(2)</w:t>
      </w:r>
      <w:r w:rsidRPr="00F47EF3">
        <w:tab/>
        <w:t>the extent of economic and related social distress in the municipality and the area to be affected by the redevelopment project;</w:t>
      </w:r>
    </w:p>
    <w:p w:rsidR="001202FC" w:rsidRPr="00F47EF3" w:rsidRDefault="001202FC" w:rsidP="001202FC">
      <w:r w:rsidRPr="00F47EF3">
        <w:tab/>
        <w:t>(3)</w:t>
      </w:r>
      <w:r w:rsidRPr="00F47EF3">
        <w:tab/>
        <w:t>the degree to which the redevelopment project will advance State, regional, and local development and planning strategies;</w:t>
      </w:r>
    </w:p>
    <w:p w:rsidR="001202FC" w:rsidRPr="00F47EF3" w:rsidRDefault="001202FC" w:rsidP="001202FC">
      <w:r w:rsidRPr="00F47EF3">
        <w:tab/>
        <w:t>(4)</w:t>
      </w:r>
      <w:r w:rsidRPr="00F47EF3">
        <w:tab/>
        <w:t>the likelihood that the redevelopment project shall, upon completion, be capable of generating new tax revenue in an amount in excess of the amount necessary to reimburse the developer for project costs incurred as provided in the redevelopment incentive grant agreement;</w:t>
      </w:r>
    </w:p>
    <w:p w:rsidR="001202FC" w:rsidRPr="00F47EF3" w:rsidRDefault="001202FC" w:rsidP="001202FC">
      <w:r w:rsidRPr="00F47EF3">
        <w:tab/>
        <w:t>(5)</w:t>
      </w:r>
      <w:r w:rsidRPr="00F47EF3">
        <w:tab/>
        <w:t xml:space="preserve">the relationship of the redevelopment project to a comprehensive local development strategy, including other major projects undertaken within the municipality; </w:t>
      </w:r>
    </w:p>
    <w:p w:rsidR="001202FC" w:rsidRPr="00F47EF3" w:rsidRDefault="001202FC" w:rsidP="001202FC">
      <w:r w:rsidRPr="00F47EF3">
        <w:tab/>
        <w:t>(6)</w:t>
      </w:r>
      <w:r w:rsidRPr="00F47EF3">
        <w:tab/>
        <w:t xml:space="preserve">the need for the redevelopment incentive grant agreement to the viability of the redevelopment project; </w:t>
      </w:r>
    </w:p>
    <w:p w:rsidR="001202FC" w:rsidRPr="00F47EF3" w:rsidRDefault="001202FC" w:rsidP="001202FC">
      <w:r w:rsidRPr="00F47EF3">
        <w:tab/>
        <w:t>(7)</w:t>
      </w:r>
      <w:r w:rsidRPr="00F47EF3">
        <w:tab/>
        <w:t>compliance with the provisions of P.L.2009, c.90 (C.52:27D-489a et al.); and</w:t>
      </w:r>
    </w:p>
    <w:p w:rsidR="001202FC" w:rsidRPr="00F47EF3" w:rsidRDefault="001202FC" w:rsidP="001202FC">
      <w:r w:rsidRPr="00F47EF3">
        <w:tab/>
        <w:t>(8)</w:t>
      </w:r>
      <w:r w:rsidRPr="00F47EF3">
        <w:tab/>
        <w:t>the degree to which the redevelopment project enhances and promotes job creation and economic development.</w:t>
      </w:r>
    </w:p>
    <w:p w:rsidR="001202FC" w:rsidRPr="00F47EF3" w:rsidRDefault="001202FC" w:rsidP="001202FC">
      <w:r w:rsidRPr="00F47EF3">
        <w:tab/>
      </w:r>
      <w:r>
        <w:t xml:space="preserve"> </w:t>
      </w:r>
      <w:r w:rsidRPr="00F47EF3">
        <w:t>e.</w:t>
      </w:r>
      <w:r w:rsidRPr="00F47EF3">
        <w:tab/>
        <w:t xml:space="preserve">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 </w:t>
      </w:r>
    </w:p>
    <w:p w:rsidR="001202FC" w:rsidRPr="00F47EF3" w:rsidRDefault="001202FC" w:rsidP="001202FC">
      <w:r w:rsidRPr="00F47EF3">
        <w:t>(</w:t>
      </w:r>
      <w:proofErr w:type="spellStart"/>
      <w:r w:rsidRPr="00F47EF3">
        <w:t>cf</w:t>
      </w:r>
      <w:proofErr w:type="spellEnd"/>
      <w:r w:rsidRPr="00F47EF3">
        <w:t xml:space="preserve">: </w:t>
      </w:r>
      <w:r>
        <w:t>P.L.</w:t>
      </w:r>
      <w:r w:rsidRPr="00F47EF3">
        <w:t>2018, c.120, s.5)</w:t>
      </w:r>
    </w:p>
    <w:p w:rsidR="001202FC" w:rsidRDefault="001202FC" w:rsidP="001202FC"/>
    <w:p w:rsidR="001202FC" w:rsidRPr="00F47EF3" w:rsidRDefault="001202FC" w:rsidP="001202FC">
      <w:r w:rsidRPr="00F47EF3">
        <w:tab/>
      </w:r>
      <w:r>
        <w:t xml:space="preserve"> </w:t>
      </w:r>
      <w:r w:rsidRPr="00F47EF3">
        <w:t>3.</w:t>
      </w:r>
      <w:r w:rsidRPr="00F47EF3">
        <w:tab/>
        <w:t>Section 5 of P.L.2009, c.90 (C.52:27D-489e) is amended to read as follows:</w:t>
      </w:r>
    </w:p>
    <w:p w:rsidR="001202FC" w:rsidRPr="00F47EF3" w:rsidRDefault="001202FC" w:rsidP="001202FC">
      <w:r w:rsidRPr="00F47EF3">
        <w:tab/>
      </w:r>
      <w:r>
        <w:t xml:space="preserve"> </w:t>
      </w:r>
      <w:r w:rsidRPr="00F47EF3">
        <w:t>5.</w:t>
      </w:r>
      <w:r w:rsidRPr="00F47EF3">
        <w:tab/>
        <w:t>a.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w:t>
      </w:r>
    </w:p>
    <w:p w:rsidR="001202FC" w:rsidRPr="00F47EF3" w:rsidRDefault="001202FC" w:rsidP="001202FC">
      <w:r w:rsidRPr="00F47EF3">
        <w:tab/>
      </w:r>
      <w:r>
        <w:t xml:space="preserve"> </w:t>
      </w:r>
      <w:r w:rsidRPr="00F47EF3">
        <w:t>b.</w:t>
      </w:r>
      <w:r w:rsidRPr="00F47EF3">
        <w:tab/>
        <w:t xml:space="preserve">(1) A developer shall submit an application for a State incentive grant prior to </w:t>
      </w:r>
      <w:r w:rsidR="00384E34" w:rsidRPr="00384E34">
        <w:rPr>
          <w:rFonts w:ascii="Albertus Extra Bold" w:hAnsi="Albertus Extra Bold"/>
          <w:b/>
        </w:rPr>
        <w:t>[</w:t>
      </w:r>
      <w:r w:rsidR="00384E34">
        <w:t>July 1</w:t>
      </w:r>
      <w:r w:rsidR="00384E34" w:rsidRPr="00384E34">
        <w:rPr>
          <w:rFonts w:ascii="Albertus Extra Bold" w:hAnsi="Albertus Extra Bold"/>
          <w:b/>
        </w:rPr>
        <w:t>]</w:t>
      </w:r>
      <w:r w:rsidR="00384E34">
        <w:rPr>
          <w:rFonts w:ascii="Albertus Extra Bold" w:hAnsi="Albertus Extra Bold"/>
          <w:b/>
        </w:rPr>
        <w:t xml:space="preserve"> </w:t>
      </w:r>
      <w:r w:rsidRPr="00384E34">
        <w:rPr>
          <w:u w:val="single"/>
        </w:rPr>
        <w:t>January 31</w:t>
      </w:r>
      <w:r w:rsidRPr="00F47EF3">
        <w:t xml:space="preserve">, </w:t>
      </w:r>
      <w:r w:rsidRPr="00F47EF3">
        <w:rPr>
          <w:rFonts w:ascii="Albertus Extra Bold" w:hAnsi="Albertus Extra Bold"/>
          <w:b/>
        </w:rPr>
        <w:t>[</w:t>
      </w:r>
      <w:r w:rsidRPr="00F47EF3">
        <w:t>2019</w:t>
      </w:r>
      <w:r w:rsidRPr="00F47EF3">
        <w:rPr>
          <w:rFonts w:ascii="Albertus Extra Bold" w:hAnsi="Albertus Extra Bold"/>
          <w:b/>
        </w:rPr>
        <w:t>]</w:t>
      </w:r>
      <w:r w:rsidRPr="00F47EF3">
        <w:t xml:space="preserve"> </w:t>
      </w:r>
      <w:r w:rsidRPr="00F47EF3">
        <w:rPr>
          <w:u w:val="single"/>
        </w:rPr>
        <w:t>2020</w:t>
      </w:r>
      <w:r w:rsidRPr="00F47EF3">
        <w:t>.  A developer that submits an application for a State incentive grant shall indicate on the application whether it is also applying for a local incentive grant.</w:t>
      </w:r>
    </w:p>
    <w:p w:rsidR="001202FC" w:rsidRPr="00F47EF3" w:rsidRDefault="001202FC" w:rsidP="001202FC">
      <w:r w:rsidRPr="00F47EF3">
        <w:tab/>
        <w:t>(2)</w:t>
      </w:r>
      <w:r w:rsidRPr="00F47EF3">
        <w:tab/>
        <w:t>When an applicant indicates it is also applying for a local incentive grant, the authority shall forward a copy of the application to the municipality wherein the redevelopment project is to be located for approval by municipal ordinance.</w:t>
      </w:r>
    </w:p>
    <w:p w:rsidR="001202FC" w:rsidRPr="00F47EF3" w:rsidRDefault="001202FC" w:rsidP="001202FC">
      <w:r w:rsidRPr="00F47EF3">
        <w:tab/>
      </w:r>
      <w:r>
        <w:t xml:space="preserve"> </w:t>
      </w:r>
      <w:r w:rsidRPr="00F47EF3">
        <w:t>c.</w:t>
      </w:r>
      <w:r w:rsidRPr="00F47EF3">
        <w:tab/>
        <w:t xml:space="preserve">An application for a State incentive grant shall be reviewed and approved by the authority.  The authority shall not approve an application for a State incentive grant unless the application was submitted prior to </w:t>
      </w:r>
      <w:r w:rsidR="00384E34" w:rsidRPr="00384E34">
        <w:rPr>
          <w:rFonts w:ascii="Albertus Extra Bold" w:hAnsi="Albertus Extra Bold"/>
          <w:b/>
        </w:rPr>
        <w:t>[</w:t>
      </w:r>
      <w:r w:rsidR="00384E34">
        <w:t>July 1</w:t>
      </w:r>
      <w:r w:rsidR="00384E34" w:rsidRPr="00384E34">
        <w:rPr>
          <w:rFonts w:ascii="Albertus Extra Bold" w:hAnsi="Albertus Extra Bold"/>
          <w:b/>
        </w:rPr>
        <w:t>]</w:t>
      </w:r>
      <w:r w:rsidR="00384E34">
        <w:t xml:space="preserve"> </w:t>
      </w:r>
      <w:r w:rsidRPr="00384E34">
        <w:rPr>
          <w:u w:val="single"/>
        </w:rPr>
        <w:t>January 31</w:t>
      </w:r>
      <w:r w:rsidRPr="00F76CCA">
        <w:t>,</w:t>
      </w:r>
      <w:r w:rsidRPr="00F47EF3">
        <w:t xml:space="preserve"> </w:t>
      </w:r>
      <w:r w:rsidRPr="00F47EF3">
        <w:rPr>
          <w:rFonts w:ascii="Albertus Extra Bold" w:hAnsi="Albertus Extra Bold"/>
          <w:b/>
        </w:rPr>
        <w:t>[</w:t>
      </w:r>
      <w:r w:rsidRPr="00F47EF3">
        <w:t>2019</w:t>
      </w:r>
      <w:r w:rsidRPr="00F47EF3">
        <w:rPr>
          <w:rFonts w:ascii="Albertus Extra Bold" w:hAnsi="Albertus Extra Bold"/>
          <w:b/>
        </w:rPr>
        <w:t>]</w:t>
      </w:r>
      <w:r w:rsidRPr="00F47EF3">
        <w:t xml:space="preserve"> </w:t>
      </w:r>
      <w:r w:rsidRPr="00F47EF3">
        <w:rPr>
          <w:u w:val="single"/>
        </w:rPr>
        <w:t>2020</w:t>
      </w:r>
      <w:r w:rsidRPr="00F47EF3">
        <w:t xml:space="preserve">.  </w:t>
      </w:r>
    </w:p>
    <w:p w:rsidR="001202FC" w:rsidRPr="00F47EF3" w:rsidRDefault="001202FC" w:rsidP="001202FC">
      <w:r w:rsidRPr="00F47EF3">
        <w:tab/>
      </w:r>
      <w:r>
        <w:t xml:space="preserve"> </w:t>
      </w:r>
      <w:r w:rsidRPr="00F47EF3">
        <w:t>d.</w:t>
      </w:r>
      <w:r w:rsidRPr="00F47EF3">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rsidR="001202FC" w:rsidRDefault="001202FC" w:rsidP="001202FC">
      <w:r w:rsidRPr="00F47EF3">
        <w:t>(</w:t>
      </w:r>
      <w:proofErr w:type="spellStart"/>
      <w:r w:rsidRPr="00F47EF3">
        <w:t>cf</w:t>
      </w:r>
      <w:proofErr w:type="spellEnd"/>
      <w:r w:rsidRPr="00F47EF3">
        <w:t>:</w:t>
      </w:r>
      <w:r>
        <w:t xml:space="preserve"> P.L.</w:t>
      </w:r>
      <w:r w:rsidRPr="00F47EF3">
        <w:t>2018, c.120, s.6)</w:t>
      </w:r>
    </w:p>
    <w:p w:rsidR="001202FC" w:rsidRDefault="001202FC" w:rsidP="001202FC"/>
    <w:p w:rsidR="001202FC" w:rsidRDefault="001202FC" w:rsidP="001202FC">
      <w:r>
        <w:tab/>
        <w:t>4.</w:t>
      </w:r>
      <w:r>
        <w:tab/>
      </w:r>
      <w:r w:rsidRPr="00C85E01">
        <w:t xml:space="preserve">Section </w:t>
      </w:r>
      <w:r>
        <w:t>6</w:t>
      </w:r>
      <w:r w:rsidRPr="00C85E01">
        <w:t xml:space="preserve"> of P.L.2009, c.90 (C.52:27D-489</w:t>
      </w:r>
      <w:r>
        <w:t>f</w:t>
      </w:r>
      <w:r w:rsidRPr="00C85E01">
        <w:t>) is amended to read as follows:</w:t>
      </w:r>
    </w:p>
    <w:p w:rsidR="001202FC" w:rsidRDefault="001202FC" w:rsidP="001202FC">
      <w:pPr>
        <w:tabs>
          <w:tab w:val="clear" w:pos="1440"/>
          <w:tab w:val="left" w:pos="1080"/>
        </w:tabs>
      </w:pPr>
      <w:r>
        <w:tab/>
        <w:t>6.</w:t>
      </w:r>
      <w:r>
        <w:tab/>
        <w:t>a.</w:t>
      </w:r>
      <w:r>
        <w:tab/>
        <w:t xml:space="preserve">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t>Nonlapsing</w:t>
      </w:r>
      <w:proofErr w:type="spellEnd"/>
      <w: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1202FC" w:rsidRDefault="001202FC" w:rsidP="001202FC">
      <w:r>
        <w:tab/>
        <w:t xml:space="preserve"> b.</w:t>
      </w:r>
      <w:r>
        <w:tab/>
        <w:t xml:space="preserve">(1)  Up to an average of 75 percent of the projected annual incremental revenues or 85 percent of the projected annual incremental revenues in a Garden State Growth Zone may be pledged towards the State portion of an incentive grant. </w:t>
      </w:r>
    </w:p>
    <w:p w:rsidR="001202FC" w:rsidRDefault="001202FC" w:rsidP="001202FC">
      <w:r>
        <w:tab/>
        <w:t>(2)</w:t>
      </w:r>
      <w: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1202FC" w:rsidRDefault="001202FC" w:rsidP="001202FC">
      <w:r>
        <w:tab/>
        <w:t>(3)</w:t>
      </w:r>
      <w: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1202FC" w:rsidRDefault="001202FC" w:rsidP="001202FC">
      <w:r>
        <w:tab/>
        <w:t>The value of all credits approved by the authority pursuant to paragraphs (2) and (3) of this subsection shall not exceed $823,000,000, of which:</w:t>
      </w:r>
    </w:p>
    <w:p w:rsidR="001202FC" w:rsidRDefault="001202FC" w:rsidP="001202FC">
      <w:r>
        <w:tab/>
        <w:t>(a)</w:t>
      </w:r>
      <w:r>
        <w:tab/>
        <w:t>$250,000,000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t>i</w:t>
      </w:r>
      <w:proofErr w:type="spellEnd"/>
      <w: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1202FC" w:rsidRDefault="001202FC" w:rsidP="001202FC">
      <w:r>
        <w:tab/>
        <w:t>(b)</w:t>
      </w:r>
      <w:r>
        <w:tab/>
        <w:t>$395,000,000 shall be restricted to the following categories of projects: (</w:t>
      </w:r>
      <w:proofErr w:type="spellStart"/>
      <w:r>
        <w:t>i</w:t>
      </w:r>
      <w:proofErr w:type="spellEnd"/>
      <w:r>
        <w:t>)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$105,000,000 of credits shall be restricted to qualified residential projects and mixed use parking projects in Garden State Growth Zones having a population in excess of 125,000 and do not qualify under subparagraph (a) of this paragraph;</w:t>
      </w:r>
    </w:p>
    <w:p w:rsidR="001202FC" w:rsidRDefault="001202FC" w:rsidP="001202FC">
      <w:r>
        <w:tab/>
        <w:t>(c)</w:t>
      </w:r>
      <w:r>
        <w:tab/>
        <w:t>$87,000,000 shall be restricted to the following categories of projects: (</w:t>
      </w:r>
      <w:proofErr w:type="spellStart"/>
      <w:r>
        <w:t>i</w:t>
      </w:r>
      <w:proofErr w:type="spellEnd"/>
      <w:r>
        <w:t xml:space="preserve">)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1202FC" w:rsidRDefault="001202FC" w:rsidP="001202FC">
      <w:r>
        <w:tab/>
        <w:t>(d)</w:t>
      </w:r>
      <w:r>
        <w:tab/>
        <w:t>(</w:t>
      </w:r>
      <w:proofErr w:type="spellStart"/>
      <w:r>
        <w:t>i</w:t>
      </w:r>
      <w:proofErr w:type="spellEnd"/>
      <w:r>
        <w:t>)  $16,000,000 shall be restricted to qualified residential projects that are located within a qualifying economic redevelopment and growth grant incentive area otherwise not qualifying under subparagraph (a), (b), or (c) of this paragraph; and</w:t>
      </w:r>
    </w:p>
    <w:p w:rsidR="001202FC" w:rsidRDefault="001202FC" w:rsidP="001202FC">
      <w:r>
        <w:tab/>
        <w:t>(ii)</w:t>
      </w:r>
      <w:r>
        <w:tab/>
        <w:t>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1202FC" w:rsidRDefault="001202FC" w:rsidP="001202FC">
      <w:r>
        <w:tab/>
        <w:t>(e)</w:t>
      </w:r>
      <w:r>
        <w:tab/>
        <w:t>$25,000,000 shall be restricted to projects involving university infrastructure.</w:t>
      </w:r>
    </w:p>
    <w:p w:rsidR="001202FC" w:rsidRDefault="001202FC" w:rsidP="001202FC">
      <w:r>
        <w:tab/>
        <w:t>(f)</w:t>
      </w:r>
      <w: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certificate of occupancy for the project no later than July 28, 2021.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July 28, 2021.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w:t>
      </w:r>
      <w:r w:rsidRPr="00C85E01">
        <w:rPr>
          <w:rFonts w:ascii="Albertus Extra Bold" w:hAnsi="Albertus Extra Bold"/>
          <w:b/>
        </w:rPr>
        <w:t>[</w:t>
      </w:r>
      <w:r>
        <w:t>July 1, 2019</w:t>
      </w:r>
      <w:r w:rsidRPr="00C85E01">
        <w:rPr>
          <w:rFonts w:ascii="Albertus Extra Bold" w:hAnsi="Albertus Extra Bold"/>
          <w:b/>
        </w:rPr>
        <w:t>]</w:t>
      </w:r>
      <w:r>
        <w:t xml:space="preserve"> </w:t>
      </w:r>
      <w:r w:rsidRPr="00C85E01">
        <w:rPr>
          <w:u w:val="single"/>
        </w:rPr>
        <w:t>January 31, 2020</w:t>
      </w:r>
      <w:r>
        <w:t xml:space="preserve">, and if approved after the effective date of P.L.2017, c.59, shall submit a temporary certificate of occupancy for the project no later than July 28, 2022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from time to time until </w:t>
      </w:r>
      <w:r w:rsidRPr="00C85E01">
        <w:rPr>
          <w:rFonts w:ascii="Albertus Extra Bold" w:hAnsi="Albertus Extra Bold"/>
          <w:b/>
        </w:rPr>
        <w:t>[</w:t>
      </w:r>
      <w:r>
        <w:t>July 1, 2019</w:t>
      </w:r>
      <w:r w:rsidRPr="00C85E01">
        <w:rPr>
          <w:rFonts w:ascii="Albertus Extra Bold" w:hAnsi="Albertus Extra Bold"/>
          <w:b/>
        </w:rPr>
        <w:t>]</w:t>
      </w:r>
      <w:r>
        <w:t xml:space="preserve"> </w:t>
      </w:r>
      <w:r w:rsidRPr="00C85E01">
        <w:rPr>
          <w:u w:val="single"/>
        </w:rPr>
        <w:t>January 31, 2020</w:t>
      </w:r>
      <w:r>
        <w:t>.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1202FC" w:rsidRDefault="001202FC" w:rsidP="001202FC">
      <w:r>
        <w:tab/>
        <w:t>(4)</w:t>
      </w:r>
      <w:r>
        <w:tab/>
        <w:t>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1202FC" w:rsidRDefault="001202FC" w:rsidP="001202FC">
      <w:r>
        <w:tab/>
        <w:t>c.</w:t>
      </w:r>
      <w:r>
        <w:tab/>
        <w:t>All administrative costs associated with the incentive grant shall be assessed to the applicant and be retained by the State Treasurer from the annual incentive grant payments.</w:t>
      </w:r>
    </w:p>
    <w:p w:rsidR="001202FC" w:rsidRDefault="001202FC" w:rsidP="001202FC">
      <w:r>
        <w:tab/>
        <w:t>d.</w:t>
      </w:r>
      <w: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1202FC" w:rsidRDefault="001202FC" w:rsidP="001202FC">
      <w:r>
        <w:tab/>
        <w:t>e.</w:t>
      </w:r>
      <w:r>
        <w:tab/>
        <w:t>The municipality is authorized to collect any information necessary to facilitate grants under this program and remit that information in order to assist in the calculation of incremental revenue.</w:t>
      </w:r>
    </w:p>
    <w:p w:rsidR="001202FC" w:rsidRDefault="001202FC" w:rsidP="001202FC">
      <w:r>
        <w:t>(</w:t>
      </w:r>
      <w:proofErr w:type="spellStart"/>
      <w:r>
        <w:t>cf</w:t>
      </w:r>
      <w:proofErr w:type="spellEnd"/>
      <w:r>
        <w:t>: P.L.2018, c.44, s.2)</w:t>
      </w:r>
    </w:p>
    <w:p w:rsidR="001202FC" w:rsidRDefault="001202FC" w:rsidP="001202FC"/>
    <w:p w:rsidR="001202FC" w:rsidRDefault="001202FC" w:rsidP="001202FC">
      <w:r>
        <w:tab/>
      </w:r>
      <w:r w:rsidRPr="00347A32">
        <w:t>5.</w:t>
      </w:r>
      <w:r>
        <w:tab/>
        <w:t>This act shall take effect immediately.</w:t>
      </w:r>
    </w:p>
    <w:p w:rsidR="00347A32" w:rsidRDefault="00347A32" w:rsidP="001202FC"/>
    <w:p w:rsidR="00507DC3" w:rsidRDefault="00507DC3" w:rsidP="001202FC"/>
    <w:p w:rsidR="00347A32" w:rsidRDefault="00347A32" w:rsidP="00347A32">
      <w:pPr>
        <w:jc w:val="center"/>
      </w:pPr>
      <w:r>
        <w:t>STATEMENT</w:t>
      </w:r>
    </w:p>
    <w:p w:rsidR="00347A32" w:rsidRDefault="00347A32" w:rsidP="00347A32"/>
    <w:p w:rsidR="001202FC" w:rsidRPr="00E7752C" w:rsidRDefault="00D30B65" w:rsidP="00E7752C">
      <w:r>
        <w:tab/>
        <w:t>This bill would extend the general application deadlines for the Grow New Jersey Assistance (GROW) Program and the State and local Economic Redevelopment and Growth Grant (ERG) programs from July 1, 2019 to January 31, 2020.  Additionally, the bill</w:t>
      </w:r>
      <w:r w:rsidRPr="002A5166">
        <w:t xml:space="preserve"> </w:t>
      </w:r>
      <w:r>
        <w:t xml:space="preserve">would extend, </w:t>
      </w:r>
      <w:r w:rsidRPr="00D3004E">
        <w:t>from July 1, 2019 to January 31, 2020</w:t>
      </w:r>
      <w:r>
        <w:t xml:space="preserve">, a </w:t>
      </w:r>
      <w:r w:rsidRPr="002A5166">
        <w:t xml:space="preserve">deadline </w:t>
      </w:r>
      <w:r>
        <w:t xml:space="preserve">specific to certain applications for tax credits for </w:t>
      </w:r>
      <w:r w:rsidRPr="00D3004E">
        <w:t>qualified residential project</w:t>
      </w:r>
      <w:r>
        <w:t>s</w:t>
      </w:r>
      <w:r w:rsidRPr="00D3004E">
        <w:t xml:space="preserve"> </w:t>
      </w:r>
      <w:r>
        <w:t>and</w:t>
      </w:r>
      <w:r w:rsidRPr="00D3004E">
        <w:t xml:space="preserve"> mixed use parking project</w:t>
      </w:r>
      <w:r>
        <w:t>s under the ERG program,</w:t>
      </w:r>
      <w:r w:rsidRPr="00D3004E">
        <w:t xml:space="preserve"> </w:t>
      </w:r>
      <w:r>
        <w:t xml:space="preserve">and the deadline </w:t>
      </w:r>
      <w:r w:rsidRPr="002A5166">
        <w:t xml:space="preserve">for a municipality to supplement letters of support for </w:t>
      </w:r>
      <w:r>
        <w:t>those</w:t>
      </w:r>
      <w:r w:rsidRPr="002A5166">
        <w:t xml:space="preserve"> projects</w:t>
      </w:r>
      <w:r>
        <w:t>.</w:t>
      </w:r>
    </w:p>
    <w:sectPr w:rsidR="001202FC" w:rsidRPr="00E7752C" w:rsidSect="005F2C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71D" w:rsidRDefault="001F371D">
      <w:r>
        <w:separator/>
      </w:r>
    </w:p>
  </w:endnote>
  <w:endnote w:type="continuationSeparator" w:id="0">
    <w:p w:rsidR="001F371D" w:rsidRDefault="001F3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C01" w:rsidRPr="00921C91" w:rsidRDefault="005F2C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2C01" w:rsidRPr="00921C91" w:rsidRDefault="005F2C01">
    <w:pPr>
      <w:pStyle w:val="Footer"/>
      <w:rPr>
        <w:szCs w:val="18"/>
      </w:rPr>
    </w:pPr>
  </w:p>
  <w:p w:rsidR="005F2C01" w:rsidRPr="00921C91" w:rsidRDefault="005F2C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2C01" w:rsidRDefault="005F2C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71D" w:rsidRDefault="001F371D">
      <w:r>
        <w:separator/>
      </w:r>
    </w:p>
  </w:footnote>
  <w:footnote w:type="continuationSeparator" w:id="0">
    <w:p w:rsidR="001F371D" w:rsidRDefault="001F3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03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2C01" w:rsidRDefault="005F2C01" w:rsidP="005F2C01">
    <w:pPr>
      <w:pStyle w:val="bpuHeadSpon"/>
    </w:pPr>
    <w:r w:rsidRPr="005F2C01">
      <w:rPr>
        <w:rStyle w:val="bpuHeadSponChar"/>
      </w:rPr>
      <w:t>A2055</w:t>
    </w:r>
    <w:r>
      <w:t xml:space="preserve"> PINTOR MARIN, FREIMAN</w:t>
    </w:r>
  </w:p>
  <w:p w:rsidR="005F2C01" w:rsidRDefault="005F2C01" w:rsidP="005F2C01">
    <w:pPr>
      <w:pStyle w:val="bpuHeadSpon"/>
    </w:pPr>
    <w:r>
      <w:fldChar w:fldCharType="begin"/>
    </w:r>
    <w:r>
      <w:instrText xml:space="preserve"> PAGE  \* MERGEFORMAT </w:instrText>
    </w:r>
    <w:r>
      <w:fldChar w:fldCharType="separate"/>
    </w:r>
    <w:r w:rsidR="00BE039A">
      <w:rPr>
        <w:noProof/>
      </w:rPr>
      <w:t>13</w:t>
    </w:r>
    <w:r>
      <w:fldChar w:fldCharType="end"/>
    </w:r>
  </w:p>
  <w:p w:rsidR="005F2C01" w:rsidRPr="00AF575C" w:rsidRDefault="005F2C01" w:rsidP="005F2C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2C01" w:rsidRDefault="005F2C01" w:rsidP="005F2C01">
    <w:pPr>
      <w:pStyle w:val="bpuHeadSpon"/>
    </w:pPr>
    <w:r w:rsidRPr="005F2C01">
      <w:rPr>
        <w:rStyle w:val="bpuHeadSponChar"/>
      </w:rPr>
      <w:t>A2055</w:t>
    </w:r>
    <w:r>
      <w:t xml:space="preserve"> PINTOR MARIN, FREIMAN</w:t>
    </w:r>
  </w:p>
  <w:p w:rsidR="005F2C01" w:rsidRDefault="005F2C01" w:rsidP="005F2C01">
    <w:pPr>
      <w:pStyle w:val="bpuHeadSpon"/>
    </w:pPr>
    <w:r>
      <w:fldChar w:fldCharType="begin"/>
    </w:r>
    <w:r>
      <w:instrText xml:space="preserve"> PAGE  \* MERGEFORMAT </w:instrText>
    </w:r>
    <w:r>
      <w:fldChar w:fldCharType="separate"/>
    </w:r>
    <w:r w:rsidR="00BE039A">
      <w:rPr>
        <w:noProof/>
      </w:rPr>
      <w:t>2</w:t>
    </w:r>
    <w:r>
      <w:fldChar w:fldCharType="end"/>
    </w:r>
  </w:p>
  <w:p w:rsidR="005F2C01" w:rsidRDefault="005F2C01" w:rsidP="005F2C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1D"/>
    <w:rsid w:val="00000169"/>
    <w:rsid w:val="00004D4D"/>
    <w:rsid w:val="00007B70"/>
    <w:rsid w:val="00007DDD"/>
    <w:rsid w:val="00010512"/>
    <w:rsid w:val="00011BAB"/>
    <w:rsid w:val="000154F3"/>
    <w:rsid w:val="00017097"/>
    <w:rsid w:val="000203E7"/>
    <w:rsid w:val="00020E5B"/>
    <w:rsid w:val="000219C8"/>
    <w:rsid w:val="00030BB1"/>
    <w:rsid w:val="00035598"/>
    <w:rsid w:val="00050BCA"/>
    <w:rsid w:val="000521CD"/>
    <w:rsid w:val="00057488"/>
    <w:rsid w:val="000654B5"/>
    <w:rsid w:val="0006579B"/>
    <w:rsid w:val="00065BBF"/>
    <w:rsid w:val="000778CE"/>
    <w:rsid w:val="00095699"/>
    <w:rsid w:val="00096FA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2F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71D"/>
    <w:rsid w:val="001F6719"/>
    <w:rsid w:val="001F6DA6"/>
    <w:rsid w:val="00214614"/>
    <w:rsid w:val="0022067D"/>
    <w:rsid w:val="00231838"/>
    <w:rsid w:val="00232C5B"/>
    <w:rsid w:val="002373F3"/>
    <w:rsid w:val="002463CF"/>
    <w:rsid w:val="0026254F"/>
    <w:rsid w:val="00266FB9"/>
    <w:rsid w:val="00274341"/>
    <w:rsid w:val="00277F76"/>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A32"/>
    <w:rsid w:val="00352F8B"/>
    <w:rsid w:val="00354D07"/>
    <w:rsid w:val="0036718A"/>
    <w:rsid w:val="0037458C"/>
    <w:rsid w:val="00381407"/>
    <w:rsid w:val="0038486B"/>
    <w:rsid w:val="00384E34"/>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DE9"/>
    <w:rsid w:val="00507DC3"/>
    <w:rsid w:val="0051355F"/>
    <w:rsid w:val="00515090"/>
    <w:rsid w:val="00520989"/>
    <w:rsid w:val="005311D7"/>
    <w:rsid w:val="00541E58"/>
    <w:rsid w:val="00546499"/>
    <w:rsid w:val="005475CF"/>
    <w:rsid w:val="005501DB"/>
    <w:rsid w:val="00550854"/>
    <w:rsid w:val="005508CF"/>
    <w:rsid w:val="00560F96"/>
    <w:rsid w:val="0056610D"/>
    <w:rsid w:val="0057029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C0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68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5D4"/>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BE5"/>
    <w:rsid w:val="00933C9C"/>
    <w:rsid w:val="0094377E"/>
    <w:rsid w:val="009467BF"/>
    <w:rsid w:val="0094723D"/>
    <w:rsid w:val="00947373"/>
    <w:rsid w:val="009564BC"/>
    <w:rsid w:val="0095650E"/>
    <w:rsid w:val="00966445"/>
    <w:rsid w:val="00967FED"/>
    <w:rsid w:val="00980A56"/>
    <w:rsid w:val="0098111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59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532"/>
    <w:rsid w:val="00B809B3"/>
    <w:rsid w:val="00B80AFD"/>
    <w:rsid w:val="00B854DC"/>
    <w:rsid w:val="00B90F81"/>
    <w:rsid w:val="00B91BF9"/>
    <w:rsid w:val="00BB2482"/>
    <w:rsid w:val="00BC4545"/>
    <w:rsid w:val="00BD79EC"/>
    <w:rsid w:val="00BE039A"/>
    <w:rsid w:val="00BE204A"/>
    <w:rsid w:val="00BE26FC"/>
    <w:rsid w:val="00BF23C7"/>
    <w:rsid w:val="00BF7456"/>
    <w:rsid w:val="00C035F3"/>
    <w:rsid w:val="00C078A1"/>
    <w:rsid w:val="00C3401C"/>
    <w:rsid w:val="00C35CC8"/>
    <w:rsid w:val="00C473B8"/>
    <w:rsid w:val="00C603F9"/>
    <w:rsid w:val="00C614C5"/>
    <w:rsid w:val="00C807EF"/>
    <w:rsid w:val="00C83317"/>
    <w:rsid w:val="00C937A1"/>
    <w:rsid w:val="00C93F56"/>
    <w:rsid w:val="00CB344E"/>
    <w:rsid w:val="00CF2757"/>
    <w:rsid w:val="00CF2761"/>
    <w:rsid w:val="00CF506C"/>
    <w:rsid w:val="00CF7045"/>
    <w:rsid w:val="00D0612B"/>
    <w:rsid w:val="00D06296"/>
    <w:rsid w:val="00D0784A"/>
    <w:rsid w:val="00D1283E"/>
    <w:rsid w:val="00D14E81"/>
    <w:rsid w:val="00D158BB"/>
    <w:rsid w:val="00D169D8"/>
    <w:rsid w:val="00D209A5"/>
    <w:rsid w:val="00D23780"/>
    <w:rsid w:val="00D30B65"/>
    <w:rsid w:val="00D31191"/>
    <w:rsid w:val="00D33F23"/>
    <w:rsid w:val="00D34C64"/>
    <w:rsid w:val="00D34D11"/>
    <w:rsid w:val="00D41401"/>
    <w:rsid w:val="00D546E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CCA"/>
    <w:rsid w:val="00F77C47"/>
    <w:rsid w:val="00F85DDC"/>
    <w:rsid w:val="00F91244"/>
    <w:rsid w:val="00F95319"/>
    <w:rsid w:val="00FB3056"/>
    <w:rsid w:val="00FB309C"/>
    <w:rsid w:val="00FB3C7C"/>
    <w:rsid w:val="00FB6E52"/>
    <w:rsid w:val="00FC5994"/>
    <w:rsid w:val="00FD2897"/>
    <w:rsid w:val="00FD4421"/>
    <w:rsid w:val="00FD4591"/>
    <w:rsid w:val="00FD7AC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C87342-0F3F-45B2-81A3-DAF68715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96F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6FA1"/>
    <w:rPr>
      <w:rFonts w:ascii="Segoe UI" w:hAnsi="Segoe UI" w:cs="Segoe UI"/>
      <w:spacing w:val="4"/>
      <w:sz w:val="18"/>
      <w:szCs w:val="18"/>
    </w:rPr>
  </w:style>
  <w:style w:type="character" w:styleId="LineNumber">
    <w:name w:val="line number"/>
    <w:basedOn w:val="DefaultParagraphFont"/>
    <w:semiHidden/>
    <w:unhideWhenUsed/>
    <w:rsid w:val="005F2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C6969-A2EB-4EF9-9B80-01964E606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5139</Words>
  <Characters>27496</Characters>
  <Application>Microsoft Office Word</Application>
  <DocSecurity>0</DocSecurity>
  <Lines>556</Lines>
  <Paragraphs>87</Paragraphs>
  <ScaleCrop>false</ScaleCrop>
  <HeadingPairs>
    <vt:vector size="2" baseType="variant">
      <vt:variant>
        <vt:lpstr>Title</vt:lpstr>
      </vt:variant>
      <vt:variant>
        <vt:i4>1</vt:i4>
      </vt:variant>
    </vt:vector>
  </HeadingPairs>
  <TitlesOfParts>
    <vt:vector size="1" baseType="lpstr">
      <vt:lpstr>A2055</vt:lpstr>
    </vt:vector>
  </TitlesOfParts>
  <Manager>R56</Manager>
  <Company>OFFICE of LEGISLATIVE SERVICES</Company>
  <LinksUpToDate>false</LinksUpToDate>
  <CharactersWithSpaces>32695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A2055</dc:title>
  <dc:creator>Assemblywoman  PINTOR MARIN, Assemblyman  FREIMAN</dc:creator>
  <cp:keywords>A2055|13|RF |265|0|0|!|0|</cp:keywords>
  <dc:description>PREFILED 2020</dc:description>
  <cp:lastModifiedBy>Todaro, Vivian</cp:lastModifiedBy>
  <cp:revision>2</cp:revision>
  <cp:lastPrinted>2020-01-11T19:56:00Z</cp:lastPrinted>
  <dcterms:created xsi:type="dcterms:W3CDTF">2020-01-11T22:54:00Z</dcterms:created>
  <dcterms:modified xsi:type="dcterms:W3CDTF">2020-01-11T22:54:00Z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