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7B1" w:rsidRDefault="00E147B1" w:rsidP="00E147B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2112 </w:t>
      </w:r>
    </w:p>
    <w:p w:rsidR="00E147B1" w:rsidRPr="00E147B1" w:rsidRDefault="00E147B1" w:rsidP="00E147B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7" o:title=""/>
          </v:shape>
          <o:OLEObject Type="Embed" ProgID="WPWin6.1" ShapeID="_x0000_i1025" DrawAspect="Content" ObjectID="_1640269926" r:id="rId8"/>
        </w:object>
      </w:r>
    </w:p>
    <w:p w:rsidR="00E147B1" w:rsidRDefault="00E147B1" w:rsidP="00E147B1">
      <w:pPr>
        <w:pStyle w:val="bpuState"/>
      </w:pPr>
      <w:r>
        <w:t>STATE OF NEW JERSEY</w:t>
      </w:r>
    </w:p>
    <w:p w:rsidR="00E147B1" w:rsidRDefault="00E147B1" w:rsidP="00E147B1">
      <w:pPr>
        <w:pStyle w:val="bpuLegislature"/>
      </w:pPr>
      <w:r>
        <w:t>219th LEGISLATURE</w:t>
      </w:r>
    </w:p>
    <w:p w:rsidR="00E147B1" w:rsidRDefault="00E147B1" w:rsidP="00E147B1">
      <w:pPr>
        <w:pStyle w:val="bpuWpGraphic"/>
      </w:pPr>
      <w:r>
        <w:object w:dxaOrig="8985" w:dyaOrig="255">
          <v:shape id="_x0000_i1026" type="#_x0000_t75" style="width:6in;height:12.1pt" o:ole="">
            <v:imagedata r:id="rId7" o:title=""/>
          </v:shape>
          <o:OLEObject Type="Embed" ProgID="WPWin6.1" ShapeID="_x0000_i1026" DrawAspect="Content" ObjectID="_1640269927" r:id="rId9"/>
        </w:object>
      </w:r>
      <w:r>
        <w:t xml:space="preserve">  </w:t>
      </w:r>
    </w:p>
    <w:p w:rsidR="00E147B1" w:rsidRDefault="00E147B1" w:rsidP="00E147B1">
      <w:pPr>
        <w:pStyle w:val="bpuIntro"/>
      </w:pPr>
      <w:r>
        <w:t>PRE-FILED FOR INTRODUCTION IN THE 2020 SESSION</w:t>
      </w:r>
    </w:p>
    <w:p w:rsidR="00E147B1" w:rsidRDefault="00E147B1" w:rsidP="00E147B1">
      <w:pPr>
        <w:pStyle w:val="bpuIntro"/>
      </w:pPr>
    </w:p>
    <w:p w:rsidR="00E147B1" w:rsidRDefault="00E147B1" w:rsidP="00E147B1">
      <w:pPr>
        <w:pStyle w:val="bpuIntro"/>
        <w:sectPr w:rsidR="00E147B1" w:rsidSect="00E147B1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E147B1" w:rsidRDefault="00E147B1" w:rsidP="00E147B1">
      <w:pPr>
        <w:pStyle w:val="bpuIntro"/>
      </w:pPr>
    </w:p>
    <w:p w:rsidR="00E147B1" w:rsidRDefault="00E147B1" w:rsidP="00E147B1">
      <w:pPr>
        <w:pStyle w:val="bpuSponsor"/>
      </w:pPr>
      <w:r>
        <w:t>Sponsored by:</w:t>
      </w:r>
    </w:p>
    <w:p w:rsidR="00E147B1" w:rsidRDefault="00E147B1" w:rsidP="00E147B1">
      <w:pPr>
        <w:pStyle w:val="bpuSponsor"/>
      </w:pPr>
      <w:r>
        <w:t>Assemblywoman  LISA SWAIN</w:t>
      </w:r>
    </w:p>
    <w:p w:rsidR="00E147B1" w:rsidRDefault="00E147B1" w:rsidP="00E147B1">
      <w:pPr>
        <w:pStyle w:val="bpuSponsor"/>
      </w:pPr>
      <w:r>
        <w:t>District 38 (Bergen and Passaic)</w:t>
      </w:r>
    </w:p>
    <w:p w:rsidR="00E147B1" w:rsidRDefault="00E147B1" w:rsidP="00E147B1">
      <w:pPr>
        <w:pStyle w:val="bpuSponsor"/>
      </w:pPr>
      <w:r>
        <w:t>Assemblywoman  VALERIE VAINIERI HUTTLE</w:t>
      </w:r>
    </w:p>
    <w:p w:rsidR="00E147B1" w:rsidRDefault="00E147B1" w:rsidP="00E147B1">
      <w:pPr>
        <w:pStyle w:val="bpuSponsor"/>
      </w:pPr>
      <w:r>
        <w:t>District 37 (Bergen)</w:t>
      </w:r>
    </w:p>
    <w:p w:rsidR="00E147B1" w:rsidRDefault="00E25899" w:rsidP="00E25899">
      <w:pPr>
        <w:pStyle w:val="bpuSponsor"/>
      </w:pPr>
      <w:r>
        <w:t>Assemblyman  GORDON M. JOHNSON</w:t>
      </w:r>
    </w:p>
    <w:p w:rsidR="00E25899" w:rsidRDefault="00E25899" w:rsidP="00E25899">
      <w:pPr>
        <w:pStyle w:val="bpuSponsor"/>
      </w:pPr>
      <w:r>
        <w:t>District 37 (Bergen)</w:t>
      </w:r>
    </w:p>
    <w:p w:rsidR="00E25899" w:rsidRPr="00E25899" w:rsidRDefault="00E25899" w:rsidP="00E25899">
      <w:pPr>
        <w:pStyle w:val="bpuSponsor"/>
      </w:pPr>
    </w:p>
    <w:p w:rsidR="00E147B1" w:rsidRDefault="00E147B1" w:rsidP="00E147B1">
      <w:pPr>
        <w:pStyle w:val="bpuSponsor"/>
      </w:pPr>
    </w:p>
    <w:p w:rsidR="00E147B1" w:rsidRDefault="00E147B1" w:rsidP="00E147B1">
      <w:pPr>
        <w:pStyle w:val="bpuSponsor"/>
      </w:pPr>
    </w:p>
    <w:p w:rsidR="00E147B1" w:rsidRDefault="00E147B1" w:rsidP="00E147B1">
      <w:pPr>
        <w:pStyle w:val="bpuSponsor"/>
      </w:pPr>
    </w:p>
    <w:p w:rsidR="00E147B1" w:rsidRDefault="00E147B1" w:rsidP="00E147B1">
      <w:pPr>
        <w:pStyle w:val="bpuSponsor"/>
      </w:pPr>
      <w:r>
        <w:t>SYNOPSIS</w:t>
      </w:r>
    </w:p>
    <w:p w:rsidR="00E147B1" w:rsidRDefault="00E147B1" w:rsidP="00E147B1">
      <w:pPr>
        <w:pStyle w:val="bpuNormText"/>
      </w:pPr>
      <w:r>
        <w:tab/>
        <w:t xml:space="preserve">Provides that leaving scene of motor vehicle accident is crime of first degree if accident results in death of another person. </w:t>
      </w:r>
    </w:p>
    <w:p w:rsidR="00E147B1" w:rsidRDefault="00E147B1" w:rsidP="00E147B1">
      <w:pPr>
        <w:pStyle w:val="bpuNormText"/>
      </w:pPr>
    </w:p>
    <w:p w:rsidR="00E147B1" w:rsidRDefault="00E147B1" w:rsidP="00E147B1">
      <w:pPr>
        <w:pStyle w:val="bpuSponsor"/>
      </w:pPr>
      <w:r>
        <w:t xml:space="preserve">CURRENT VERSION OF TEXT </w:t>
      </w:r>
    </w:p>
    <w:p w:rsidR="00E147B1" w:rsidRDefault="00E147B1" w:rsidP="00E147B1">
      <w:pPr>
        <w:pStyle w:val="bpuNormText"/>
      </w:pPr>
      <w:r>
        <w:tab/>
        <w:t>Introduced Pending Technical Review by Legislative Counsel.</w:t>
      </w:r>
    </w:p>
    <w:p w:rsidR="00E147B1" w:rsidRDefault="00E147B1" w:rsidP="00E147B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E147B1" w:rsidRDefault="00E147B1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E147B1" w:rsidSect="00E147B1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D2424F" w:rsidRPr="00677316" w:rsidRDefault="00D2424F" w:rsidP="00D2424F">
      <w:pPr>
        <w:pStyle w:val="HangingAnAct"/>
        <w:rPr>
          <w:rStyle w:val="HangingAnActChar"/>
        </w:rPr>
      </w:pPr>
      <w:r w:rsidRPr="00D2424F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certain motor vehicle accidents and amending P.L.1997, c.111.</w:t>
      </w:r>
    </w:p>
    <w:p w:rsidR="00D2424F" w:rsidRPr="00D71D68" w:rsidRDefault="00D2424F" w:rsidP="00D2424F"/>
    <w:p w:rsidR="00D2424F" w:rsidRPr="00AA7880" w:rsidRDefault="00D2424F" w:rsidP="00D2424F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D2424F" w:rsidRDefault="00D2424F" w:rsidP="00D2424F"/>
    <w:p w:rsidR="00D2424F" w:rsidRDefault="00D2424F" w:rsidP="00D2424F">
      <w:r>
        <w:tab/>
        <w:t>1.</w:t>
      </w:r>
      <w:r>
        <w:tab/>
        <w:t>Section 1 of P.L.1997, c.111 (C.2C:11-5.1) is amended to read as follows:</w:t>
      </w:r>
    </w:p>
    <w:p w:rsidR="00D2424F" w:rsidRDefault="00D2424F" w:rsidP="00D2424F">
      <w:r>
        <w:tab/>
        <w:t>1.</w:t>
      </w:r>
      <w:r>
        <w:tab/>
        <w:t xml:space="preserve">A motor vehicle operator who knows he is involved in an accident and knowingly leaves the scene of that accident under circumstances that violate the provisions of R.S.39:4-129 shall be guilty of a crime of the </w:t>
      </w:r>
      <w:r w:rsidRPr="00D558B9">
        <w:rPr>
          <w:rFonts w:ascii="Albertus Extra Bold" w:hAnsi="Albertus Extra Bold"/>
          <w:b/>
        </w:rPr>
        <w:t>[</w:t>
      </w:r>
      <w:r>
        <w:t>second</w:t>
      </w:r>
      <w:r w:rsidRPr="00D558B9">
        <w:rPr>
          <w:rFonts w:ascii="Albertus Extra Bold" w:hAnsi="Albertus Extra Bold"/>
          <w:b/>
        </w:rPr>
        <w:t>]</w:t>
      </w:r>
      <w:r>
        <w:t xml:space="preserve"> </w:t>
      </w:r>
      <w:r w:rsidRPr="00D558B9">
        <w:rPr>
          <w:u w:val="single"/>
        </w:rPr>
        <w:t>first</w:t>
      </w:r>
      <w:r>
        <w:t xml:space="preserve"> degree if the accident results in the death of another person.</w:t>
      </w:r>
    </w:p>
    <w:p w:rsidR="00D2424F" w:rsidRDefault="00D2424F" w:rsidP="00D2424F">
      <w:r>
        <w:tab/>
        <w:t>If the evidence so warrants, nothing in this section shall be deemed to preclude an indictment and conviction for aggravated manslaughter under the provisions of N.J.S.2C:11-4, reckless vehicular homicide under the provisions of N.J.S.2C:11-5 or strict liability vehicular homicide under the provisions of section 1 of P.L.2017, c.165 (C.2C:11-5.3).</w:t>
      </w:r>
    </w:p>
    <w:p w:rsidR="00D2424F" w:rsidRDefault="00D2424F" w:rsidP="00D2424F">
      <w:r>
        <w:tab/>
        <w:t>Notwithstanding the provisions of N.J.S.2C:1-8 or any other provisions of law, a conviction arising under this section shall not merge with a conviction for aggravated manslaughter under the provisions of N.J.S.2C:11-4, reckless vehicular homicide under the provisions of N.J.S.2C:11-5 or strict liability vehicular homicide under the provisions of section 1 of P.L.2017, c.165 (C.2C:11-5.3) and a separate sentence shall be imposed upon each such conviction.</w:t>
      </w:r>
    </w:p>
    <w:p w:rsidR="00D2424F" w:rsidRDefault="00D2424F" w:rsidP="00D2424F">
      <w:r>
        <w:tab/>
        <w:t>Notwithstanding the provisions of N.J.S.2C:44-5 or any other provisions of law, when the court imposes multiple sentences of imprisonment for more than one offense, those sentences shall run consecutively.</w:t>
      </w:r>
    </w:p>
    <w:p w:rsidR="00D2424F" w:rsidRDefault="00D2424F" w:rsidP="00D2424F">
      <w:r>
        <w:tab/>
        <w:t>For the purposes of this section, neither knowledge of the death nor knowledge of the violation are elements of the offense and it shall not be a defense that the operator of the motor vehicle was unaware of the death or of the provisions of R.S.39:4-129.</w:t>
      </w:r>
    </w:p>
    <w:p w:rsidR="00D2424F" w:rsidRDefault="00D2424F" w:rsidP="00D2424F">
      <w:r>
        <w:t>(</w:t>
      </w:r>
      <w:proofErr w:type="spellStart"/>
      <w:r>
        <w:t>cf</w:t>
      </w:r>
      <w:proofErr w:type="spellEnd"/>
      <w:r>
        <w:t>: P.L.2017, c.165, s.4)</w:t>
      </w:r>
    </w:p>
    <w:p w:rsidR="00D2424F" w:rsidRPr="00D71D68" w:rsidRDefault="00D2424F" w:rsidP="00D2424F"/>
    <w:p w:rsidR="00D2424F" w:rsidRPr="00AA7880" w:rsidRDefault="00D2424F" w:rsidP="00D2424F">
      <w:r>
        <w:tab/>
        <w:t>2.</w:t>
      </w:r>
      <w:r>
        <w:tab/>
        <w:t>This act shall take effect immediately.</w:t>
      </w:r>
    </w:p>
    <w:p w:rsidR="00D2424F" w:rsidRDefault="00D2424F" w:rsidP="00D2424F"/>
    <w:p w:rsidR="00D2424F" w:rsidRPr="00CE7BD8" w:rsidRDefault="00D2424F" w:rsidP="00D2424F"/>
    <w:p w:rsidR="00D2424F" w:rsidRDefault="00D2424F" w:rsidP="00D2424F">
      <w:pPr>
        <w:jc w:val="center"/>
      </w:pPr>
      <w:r w:rsidRPr="00D71D68">
        <w:t>STATEMENT</w:t>
      </w:r>
    </w:p>
    <w:p w:rsidR="00D2424F" w:rsidRDefault="00D2424F" w:rsidP="00D2424F">
      <w:pPr>
        <w:jc w:val="center"/>
      </w:pPr>
    </w:p>
    <w:p w:rsidR="00D2424F" w:rsidRDefault="00D2424F" w:rsidP="00D2424F">
      <w:r>
        <w:tab/>
        <w:t xml:space="preserve">This bill upgrades the penalties for knowingly leaving the scene of a motor vehicle accident resulting in the death of another person. </w:t>
      </w:r>
    </w:p>
    <w:p w:rsidR="00D2424F" w:rsidRDefault="00D2424F" w:rsidP="00D2424F">
      <w:r>
        <w:tab/>
        <w:t xml:space="preserve">Under current law, a motor vehicle operator who is involved in an accident and knowingly leaves the scene of that accident is guilty of a crime of the second degree if the accident results in the </w:t>
      </w:r>
      <w:r>
        <w:lastRenderedPageBreak/>
        <w:t xml:space="preserve">death of another person. </w:t>
      </w:r>
      <w:r w:rsidRPr="00C32E87">
        <w:t>A crime of the second degree is ord</w:t>
      </w:r>
      <w:r>
        <w:t xml:space="preserve">inarily punishable by a term of </w:t>
      </w:r>
      <w:r w:rsidRPr="00C32E87">
        <w:t xml:space="preserve">imprisonment of five to 10 years </w:t>
      </w:r>
      <w:r>
        <w:t xml:space="preserve">or a fine of up to $150,000, or </w:t>
      </w:r>
      <w:r w:rsidRPr="00C32E87">
        <w:t>both.</w:t>
      </w:r>
    </w:p>
    <w:p w:rsidR="00D2424F" w:rsidRPr="00E7752C" w:rsidRDefault="00D2424F" w:rsidP="00E7752C">
      <w:r>
        <w:tab/>
        <w:t xml:space="preserve">This bill upgrades the offense for leaving the scene of the accident when the accident results in another person’s death to a crime of the first degree. A crime of the first degree is ordinarily punishable by a term of imprisonment of 10 to 20 years or a fine of up to $200,000, or both. </w:t>
      </w:r>
    </w:p>
    <w:sectPr w:rsidR="00D2424F" w:rsidRPr="00E7752C" w:rsidSect="00E147B1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551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7071" w:rsidRDefault="00797071">
      <w:r>
        <w:separator/>
      </w:r>
    </w:p>
  </w:endnote>
  <w:endnote w:type="continuationSeparator" w:id="0">
    <w:p w:rsidR="00797071" w:rsidRDefault="00797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47B1" w:rsidRPr="00921C91" w:rsidRDefault="00E147B1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E147B1" w:rsidRPr="00921C91" w:rsidRDefault="00E147B1">
    <w:pPr>
      <w:pStyle w:val="Footer"/>
      <w:rPr>
        <w:szCs w:val="18"/>
      </w:rPr>
    </w:pPr>
  </w:p>
  <w:p w:rsidR="00E147B1" w:rsidRPr="00921C91" w:rsidRDefault="00E147B1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E147B1" w:rsidRDefault="00E147B1">
    <w:pPr>
      <w:pStyle w:val="Footer"/>
    </w:pPr>
  </w:p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7071" w:rsidRDefault="00797071">
      <w:r>
        <w:separator/>
      </w:r>
    </w:p>
  </w:footnote>
  <w:footnote w:type="continuationSeparator" w:id="0">
    <w:p w:rsidR="00797071" w:rsidRDefault="007970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EF1FE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E147B1" w:rsidRDefault="00E147B1" w:rsidP="00E147B1">
    <w:pPr>
      <w:pStyle w:val="bpuHeadSpon"/>
    </w:pPr>
    <w:r w:rsidRPr="00E147B1">
      <w:rPr>
        <w:rStyle w:val="bpuHeadSponChar"/>
      </w:rPr>
      <w:t>A2112</w:t>
    </w:r>
    <w:r>
      <w:t xml:space="preserve"> SWAIN, VAINIERI HUTTLE</w:t>
    </w:r>
  </w:p>
  <w:p w:rsidR="00E147B1" w:rsidRDefault="00E147B1" w:rsidP="00E147B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F1FEA">
      <w:rPr>
        <w:noProof/>
      </w:rPr>
      <w:t>3</w:t>
    </w:r>
    <w:r>
      <w:fldChar w:fldCharType="end"/>
    </w:r>
  </w:p>
  <w:p w:rsidR="00E147B1" w:rsidRPr="00AF575C" w:rsidRDefault="00E147B1" w:rsidP="00E147B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E147B1" w:rsidRDefault="00E147B1" w:rsidP="00E147B1">
    <w:pPr>
      <w:pStyle w:val="bpuHeadSpon"/>
    </w:pPr>
    <w:r w:rsidRPr="00E147B1">
      <w:rPr>
        <w:rStyle w:val="bpuHeadSponChar"/>
      </w:rPr>
      <w:t>A2112</w:t>
    </w:r>
    <w:r>
      <w:t xml:space="preserve"> SWAIN, VAINIERI HUTTLE</w:t>
    </w:r>
  </w:p>
  <w:p w:rsidR="00E147B1" w:rsidRDefault="00E147B1" w:rsidP="00E147B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F1FEA">
      <w:rPr>
        <w:noProof/>
      </w:rPr>
      <w:t>2</w:t>
    </w:r>
    <w:r>
      <w:fldChar w:fldCharType="end"/>
    </w:r>
  </w:p>
  <w:p w:rsidR="00E147B1" w:rsidRDefault="00E147B1" w:rsidP="00E147B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071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65CCF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240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165BA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87901"/>
    <w:rsid w:val="0079623B"/>
    <w:rsid w:val="00797071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3C6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740EB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2424F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147B1"/>
    <w:rsid w:val="00E25899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1FEA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39BF9FA2-945D-4295-AFC7-1B8F16B8E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147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FECBC0-897F-467C-8445-D4DD09C2D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</Template>
  <TotalTime>0</TotalTime>
  <Pages>3</Pages>
  <Words>508</Words>
  <Characters>2658</Characters>
  <Application>Microsoft Office Word</Application>
  <DocSecurity>0</DocSecurity>
  <Lines>83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A2112</vt:lpstr>
    </vt:vector>
  </TitlesOfParts>
  <Manager>R230</Manager>
  <Company>OFFICE of LEGISLATIVE SERVICES</Company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A2112</dc:title>
  <dc:creator>Assemblywoman  SWAIN, Assemblywoman  VAINIERI HUTTLE</dc:creator>
  <cp:keywords>A2112|3|LP |92|0|0|!|0|</cp:keywords>
  <dc:description>PREFILED 2020</dc:description>
  <cp:lastModifiedBy>Bektas, Brenda</cp:lastModifiedBy>
  <cp:revision>2</cp:revision>
  <cp:lastPrinted>2005-07-29T18:13:00Z</cp:lastPrinted>
  <dcterms:created xsi:type="dcterms:W3CDTF">2020-01-11T22:31:00Z</dcterms:created>
  <dcterms:modified xsi:type="dcterms:W3CDTF">2020-01-11T22:31:00Z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