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2D1" w:rsidRDefault="001B62D1" w:rsidP="001B62D1">
      <w:pPr>
        <w:pStyle w:val="bpuBill"/>
      </w:pPr>
      <w:bookmarkStart w:id="0" w:name="bpuFrontPg"/>
      <w:bookmarkStart w:id="1" w:name="_GoBack"/>
      <w:bookmarkEnd w:id="0"/>
      <w:bookmarkEnd w:id="1"/>
      <w:r>
        <w:t xml:space="preserve">ASSEMBLY, No. 2118 </w:t>
      </w:r>
    </w:p>
    <w:p w:rsidR="001B62D1" w:rsidRPr="001B62D1" w:rsidRDefault="001B62D1" w:rsidP="001B62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531" r:id="rId8"/>
        </w:object>
      </w:r>
    </w:p>
    <w:p w:rsidR="001B62D1" w:rsidRDefault="001B62D1" w:rsidP="001B62D1">
      <w:pPr>
        <w:pStyle w:val="bpuState"/>
      </w:pPr>
      <w:r>
        <w:t>STATE OF NEW JERSEY</w:t>
      </w:r>
    </w:p>
    <w:p w:rsidR="001B62D1" w:rsidRDefault="001B62D1" w:rsidP="001B62D1">
      <w:pPr>
        <w:pStyle w:val="bpuLegislature"/>
      </w:pPr>
      <w:r>
        <w:t>219th LEGISLATURE</w:t>
      </w:r>
    </w:p>
    <w:p w:rsidR="001B62D1" w:rsidRDefault="001B62D1" w:rsidP="001B62D1">
      <w:pPr>
        <w:pStyle w:val="bpuWpGraphic"/>
      </w:pPr>
      <w:r>
        <w:object w:dxaOrig="8985" w:dyaOrig="255">
          <v:shape id="_x0000_i1026" type="#_x0000_t75" style="width:6in;height:12pt" o:ole="">
            <v:imagedata r:id="rId7" o:title=""/>
          </v:shape>
          <o:OLEObject Type="Embed" ProgID="WPWin6.1" ShapeID="_x0000_i1026" DrawAspect="Content" ObjectID="_1640270532" r:id="rId9"/>
        </w:object>
      </w:r>
      <w:r>
        <w:t xml:space="preserve">  </w:t>
      </w:r>
    </w:p>
    <w:p w:rsidR="001B62D1" w:rsidRDefault="001B62D1" w:rsidP="001B62D1">
      <w:pPr>
        <w:pStyle w:val="bpuIntro"/>
      </w:pPr>
      <w:r>
        <w:t>PRE-FILED FOR INTRODUCTION IN THE 2020 SESSION</w:t>
      </w:r>
    </w:p>
    <w:p w:rsidR="001B62D1" w:rsidRDefault="001B62D1" w:rsidP="001B62D1">
      <w:pPr>
        <w:pStyle w:val="bpuIntro"/>
      </w:pPr>
    </w:p>
    <w:p w:rsidR="001B62D1" w:rsidRDefault="001B62D1" w:rsidP="001B62D1">
      <w:pPr>
        <w:pStyle w:val="bpuIntro"/>
        <w:sectPr w:rsidR="001B62D1" w:rsidSect="001B62D1">
          <w:headerReference w:type="even" r:id="rId10"/>
          <w:headerReference w:type="default" r:id="rId11"/>
          <w:pgSz w:w="12240" w:h="20160" w:code="5"/>
          <w:pgMar w:top="2160" w:right="1440" w:bottom="1440" w:left="1440" w:header="720" w:footer="720" w:gutter="0"/>
          <w:pgNumType w:start="1"/>
          <w:cols w:space="720"/>
          <w:docGrid w:linePitch="360"/>
        </w:sectPr>
      </w:pPr>
    </w:p>
    <w:p w:rsidR="001B62D1" w:rsidRDefault="001B62D1" w:rsidP="001B62D1">
      <w:pPr>
        <w:pStyle w:val="bpuIntro"/>
      </w:pPr>
    </w:p>
    <w:p w:rsidR="001B62D1" w:rsidRDefault="001B62D1" w:rsidP="001B62D1">
      <w:pPr>
        <w:pStyle w:val="bpuSponsor"/>
      </w:pPr>
      <w:r>
        <w:t>Sponsored by:</w:t>
      </w:r>
    </w:p>
    <w:p w:rsidR="001B62D1" w:rsidRDefault="001B62D1" w:rsidP="001B62D1">
      <w:pPr>
        <w:pStyle w:val="bpuSponsor"/>
      </w:pPr>
      <w:r>
        <w:t>Assemblyman  P. CHRISTOPHER TULLY</w:t>
      </w:r>
    </w:p>
    <w:p w:rsidR="001B62D1" w:rsidRDefault="001B62D1" w:rsidP="001B62D1">
      <w:pPr>
        <w:pStyle w:val="bpuSponsor"/>
      </w:pPr>
      <w:r>
        <w:t>District 38 (Bergen and Passaic)</w:t>
      </w:r>
    </w:p>
    <w:p w:rsidR="001B62D1" w:rsidRDefault="001B62D1" w:rsidP="001B62D1">
      <w:pPr>
        <w:pStyle w:val="bpuSponsor"/>
      </w:pPr>
      <w:r>
        <w:t>Assemblywoman  LISA SWAIN</w:t>
      </w:r>
    </w:p>
    <w:p w:rsidR="001B62D1" w:rsidRDefault="001B62D1" w:rsidP="001B62D1">
      <w:pPr>
        <w:pStyle w:val="bpuSponsor"/>
      </w:pPr>
      <w:r>
        <w:t>District 38 (Bergen and Passaic)</w:t>
      </w:r>
    </w:p>
    <w:p w:rsidR="001B62D1" w:rsidRDefault="001B62D1" w:rsidP="001B62D1">
      <w:pPr>
        <w:pStyle w:val="bpuSponsor"/>
      </w:pPr>
      <w:r>
        <w:t>Assemblyman  VINCENT MAZZEO</w:t>
      </w:r>
    </w:p>
    <w:p w:rsidR="001B62D1" w:rsidRDefault="001B62D1" w:rsidP="001B62D1">
      <w:pPr>
        <w:pStyle w:val="bpuSponsor"/>
      </w:pPr>
      <w:r>
        <w:t>District 2 (Atlantic)</w:t>
      </w:r>
    </w:p>
    <w:p w:rsidR="001B62D1" w:rsidRDefault="001B62D1" w:rsidP="001B62D1">
      <w:pPr>
        <w:pStyle w:val="bpuSponsor"/>
      </w:pPr>
    </w:p>
    <w:p w:rsidR="001B62D1" w:rsidRDefault="001B62D1" w:rsidP="001B62D1">
      <w:pPr>
        <w:pStyle w:val="bpuSponsor"/>
      </w:pPr>
      <w:r>
        <w:t>Co-Sponsored by:</w:t>
      </w:r>
    </w:p>
    <w:p w:rsidR="001B62D1" w:rsidRDefault="001B62D1" w:rsidP="001B62D1">
      <w:pPr>
        <w:pStyle w:val="bpuSponsor"/>
      </w:pPr>
      <w:r w:rsidRPr="001B62D1">
        <w:t xml:space="preserve">Assemblyman </w:t>
      </w:r>
      <w:proofErr w:type="spellStart"/>
      <w:r w:rsidRPr="001B62D1">
        <w:t>Armato</w:t>
      </w:r>
      <w:proofErr w:type="spellEnd"/>
      <w:r w:rsidRPr="001B62D1">
        <w:t xml:space="preserve">, Assemblywoman Downey, Assemblymen </w:t>
      </w:r>
      <w:proofErr w:type="spellStart"/>
      <w:r w:rsidRPr="001B62D1">
        <w:t>Freiman</w:t>
      </w:r>
      <w:proofErr w:type="spellEnd"/>
      <w:r w:rsidRPr="001B62D1">
        <w:t xml:space="preserve">, </w:t>
      </w:r>
      <w:proofErr w:type="spellStart"/>
      <w:r w:rsidRPr="001B62D1">
        <w:t>Houghtaling</w:t>
      </w:r>
      <w:proofErr w:type="spellEnd"/>
      <w:r w:rsidRPr="001B62D1">
        <w:t xml:space="preserve">, </w:t>
      </w:r>
      <w:proofErr w:type="spellStart"/>
      <w:r w:rsidRPr="001B62D1">
        <w:t>DeAngelo</w:t>
      </w:r>
      <w:proofErr w:type="spellEnd"/>
      <w:r w:rsidRPr="001B62D1">
        <w:t>, Assemblywomen Murphy, McKnight, Lopez, Timberlake, Assemblymen Conaway, Calabrese and Assemblywoman Jimenez</w:t>
      </w:r>
    </w:p>
    <w:p w:rsidR="001B62D1" w:rsidRDefault="001B62D1" w:rsidP="001B62D1"/>
    <w:p w:rsidR="001B62D1" w:rsidRPr="001B62D1" w:rsidRDefault="001B62D1" w:rsidP="001B62D1"/>
    <w:p w:rsidR="001B62D1" w:rsidRDefault="001B62D1" w:rsidP="001B62D1">
      <w:pPr>
        <w:pStyle w:val="bpuSponsor"/>
      </w:pPr>
    </w:p>
    <w:p w:rsidR="001B62D1" w:rsidRDefault="001B62D1" w:rsidP="001B62D1">
      <w:pPr>
        <w:pStyle w:val="bpuSponsor"/>
      </w:pPr>
    </w:p>
    <w:p w:rsidR="001B62D1" w:rsidRDefault="001B62D1" w:rsidP="001B62D1">
      <w:pPr>
        <w:pStyle w:val="bpuSponsor"/>
      </w:pPr>
      <w:r>
        <w:t>SYNOPSIS</w:t>
      </w:r>
    </w:p>
    <w:p w:rsidR="001B62D1" w:rsidRDefault="001B62D1" w:rsidP="001B62D1">
      <w:pPr>
        <w:pStyle w:val="bpuNormText"/>
      </w:pPr>
      <w:r>
        <w:tab/>
        <w:t xml:space="preserve">Requires telecommunications, cable television, and Internet service providers to allow service recipients to terminate service contracts following physician’s referral to long-term care facility. </w:t>
      </w:r>
    </w:p>
    <w:p w:rsidR="001B62D1" w:rsidRDefault="001B62D1" w:rsidP="001B62D1">
      <w:pPr>
        <w:pStyle w:val="bpuNormText"/>
      </w:pPr>
    </w:p>
    <w:p w:rsidR="001B62D1" w:rsidRDefault="001B62D1" w:rsidP="001B62D1">
      <w:pPr>
        <w:pStyle w:val="bpuSponsor"/>
      </w:pPr>
      <w:r>
        <w:t xml:space="preserve">CURRENT VERSION OF TEXT </w:t>
      </w:r>
    </w:p>
    <w:p w:rsidR="001B62D1" w:rsidRDefault="001B62D1" w:rsidP="001B62D1">
      <w:pPr>
        <w:pStyle w:val="bpuNormText"/>
      </w:pPr>
      <w:r>
        <w:tab/>
        <w:t>Introduced Pending Technical Review by Legislative Counsel.</w:t>
      </w:r>
    </w:p>
    <w:p w:rsidR="001B62D1" w:rsidRDefault="001B62D1" w:rsidP="001B62D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62D1" w:rsidRDefault="001B62D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62D1" w:rsidSect="001B62D1">
          <w:type w:val="continuous"/>
          <w:pgSz w:w="12240" w:h="20160" w:code="5"/>
          <w:pgMar w:top="2160" w:right="2275" w:bottom="1440" w:left="2275" w:header="72" w:footer="720" w:gutter="0"/>
          <w:pgNumType w:start="1"/>
          <w:cols w:space="720"/>
          <w:docGrid w:linePitch="360"/>
        </w:sectPr>
      </w:pPr>
    </w:p>
    <w:p w:rsidR="00C23BA9" w:rsidRPr="003159B5" w:rsidRDefault="00C23BA9" w:rsidP="00C23BA9">
      <w:pPr>
        <w:pStyle w:val="HangingAnAct"/>
      </w:pPr>
      <w:r w:rsidRPr="00C23BA9">
        <w:rPr>
          <w:rStyle w:val="BillHead"/>
        </w:rPr>
        <w:lastRenderedPageBreak/>
        <w:t>An Act</w:t>
      </w:r>
      <w:r w:rsidRPr="003159B5">
        <w:t xml:space="preserve"> allowing certain telecommunications service recipients to terminate service </w:t>
      </w:r>
      <w:r w:rsidRPr="00C41583">
        <w:t>contracts</w:t>
      </w:r>
      <w:r w:rsidRPr="003159B5">
        <w:t xml:space="preserve"> following a physician’s referral to certain long-term care facilities and supplementing Title 56 of the Revised Statutes.</w:t>
      </w:r>
    </w:p>
    <w:p w:rsidR="00C23BA9" w:rsidRPr="00D71D68" w:rsidRDefault="00C23BA9" w:rsidP="00C23BA9"/>
    <w:p w:rsidR="00C23BA9" w:rsidRPr="00AA7880" w:rsidRDefault="00C23BA9" w:rsidP="00C23BA9">
      <w:r>
        <w:tab/>
      </w:r>
      <w:r>
        <w:rPr>
          <w:rStyle w:val="BillHeading2"/>
        </w:rPr>
        <w:t xml:space="preserve">Be It Enacted </w:t>
      </w:r>
      <w:r>
        <w:rPr>
          <w:rStyle w:val="BillLanguage"/>
        </w:rPr>
        <w:t>by the Senate and General Assembly of the State of New Jersey:</w:t>
      </w:r>
    </w:p>
    <w:p w:rsidR="00C23BA9" w:rsidRDefault="00C23BA9" w:rsidP="00C23BA9"/>
    <w:p w:rsidR="00C23BA9" w:rsidRPr="003159B5" w:rsidRDefault="00C23BA9" w:rsidP="00C23BA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3159B5">
        <w:rPr>
          <w:spacing w:val="0"/>
        </w:rPr>
        <w:tab/>
        <w:t>1.</w:t>
      </w:r>
      <w:r w:rsidRPr="003159B5">
        <w:rPr>
          <w:spacing w:val="0"/>
        </w:rPr>
        <w:tab/>
        <w:t>a.</w:t>
      </w:r>
      <w:r w:rsidRPr="003159B5">
        <w:rPr>
          <w:spacing w:val="0"/>
        </w:rPr>
        <w:tab/>
        <w:t xml:space="preserve">A service provider doing business in this State shall </w:t>
      </w:r>
      <w:r w:rsidRPr="00C41583">
        <w:rPr>
          <w:spacing w:val="0"/>
        </w:rPr>
        <w:t>allow a service recipient to terminate a contract for</w:t>
      </w:r>
      <w:r w:rsidRPr="003159B5">
        <w:rPr>
          <w:spacing w:val="0"/>
        </w:rPr>
        <w:t xml:space="preserve"> telecommunications service, cable television service, or Internet connection service </w:t>
      </w:r>
      <w:r w:rsidRPr="00C41583">
        <w:rPr>
          <w:spacing w:val="0"/>
        </w:rPr>
        <w:t>pursuant to</w:t>
      </w:r>
      <w:r w:rsidRPr="003159B5">
        <w:rPr>
          <w:spacing w:val="0"/>
        </w:rPr>
        <w:t xml:space="preserve"> subsection b. of this section.</w:t>
      </w:r>
    </w:p>
    <w:p w:rsidR="00C23BA9" w:rsidRPr="00C41583" w:rsidRDefault="00C23BA9" w:rsidP="00C23BA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3159B5">
        <w:rPr>
          <w:spacing w:val="0"/>
        </w:rPr>
        <w:tab/>
      </w:r>
      <w:r w:rsidRPr="00C41583">
        <w:rPr>
          <w:spacing w:val="0"/>
        </w:rPr>
        <w:t>b.</w:t>
      </w:r>
      <w:r w:rsidRPr="00C41583">
        <w:rPr>
          <w:spacing w:val="0"/>
        </w:rPr>
        <w:tab/>
        <w:t>(1)</w:t>
      </w:r>
      <w:r w:rsidRPr="00C41583">
        <w:rPr>
          <w:spacing w:val="0"/>
        </w:rPr>
        <w:tab/>
        <w:t>A service provider shall permit a service recipient to terminate, without incurring an early termination fe</w:t>
      </w:r>
      <w:r w:rsidR="00C41583" w:rsidRPr="00C41583">
        <w:rPr>
          <w:spacing w:val="0"/>
        </w:rPr>
        <w:t>e</w:t>
      </w:r>
      <w:r w:rsidRPr="00C41583">
        <w:rPr>
          <w:spacing w:val="0"/>
        </w:rPr>
        <w:t>, the contract for those services after the service recipient receives a physician's order, or develops a plan of care in collaboration with a physician responsible for the care of the service recipient, to relocate the service recipient to a long-term care facility for a period of at least 90 days, if the service recipient relocates to a long-term care facility that meets the description in the physician’s order or the plan of care.</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(2)</w:t>
      </w:r>
      <w:r w:rsidRPr="003159B5">
        <w:rPr>
          <w:spacing w:val="0"/>
        </w:rPr>
        <w:tab/>
      </w:r>
      <w:r w:rsidRPr="00C41583">
        <w:rPr>
          <w:spacing w:val="0"/>
        </w:rPr>
        <w:t>The service recipient shall, unless waived or not required by the service provider, provide the service provider with no less than 45 days’ notice prior to the requested date of the contract termination or cancellation; provided, however, a service provider shall waive the notice requirement and permit the termination within 48 hours if a physi</w:t>
      </w:r>
      <w:r w:rsidR="00C41583">
        <w:rPr>
          <w:spacing w:val="0"/>
        </w:rPr>
        <w:t xml:space="preserve">cian’s order requires immediate </w:t>
      </w:r>
      <w:r w:rsidRPr="00C41583">
        <w:rPr>
          <w:spacing w:val="0"/>
        </w:rPr>
        <w:t>relocation to a long-term care facility</w:t>
      </w:r>
      <w:r w:rsidRPr="003159B5">
        <w:rPr>
          <w:spacing w:val="0"/>
        </w:rPr>
        <w:t>.</w:t>
      </w:r>
    </w:p>
    <w:p w:rsidR="00C23BA9" w:rsidRPr="00C41583"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159B5">
        <w:rPr>
          <w:spacing w:val="0"/>
        </w:rPr>
        <w:tab/>
        <w:t>(3)</w:t>
      </w:r>
      <w:r w:rsidRPr="003159B5">
        <w:rPr>
          <w:spacing w:val="0"/>
        </w:rPr>
        <w:tab/>
      </w:r>
      <w:r w:rsidRPr="00C41583">
        <w:rPr>
          <w:spacing w:val="0"/>
        </w:rPr>
        <w:t xml:space="preserve">A service provider may require written proof of a service recipient’s relocation to a long-term facility.  If the service provider requires written proof, then the </w:t>
      </w:r>
      <w:r w:rsidRPr="003159B5">
        <w:rPr>
          <w:spacing w:val="0"/>
        </w:rPr>
        <w:t xml:space="preserve">delivery of a written notice to the service provider of the </w:t>
      </w:r>
      <w:r w:rsidRPr="00C41583">
        <w:rPr>
          <w:spacing w:val="0"/>
        </w:rPr>
        <w:t>requested contract</w:t>
      </w:r>
      <w:r w:rsidRPr="003159B5">
        <w:rPr>
          <w:spacing w:val="0"/>
        </w:rPr>
        <w:t xml:space="preserve"> termination and a letter signed by the service recipient’s physician</w:t>
      </w:r>
      <w:r w:rsidR="00F95AF5">
        <w:rPr>
          <w:spacing w:val="0"/>
        </w:rPr>
        <w:t>,</w:t>
      </w:r>
      <w:r w:rsidRPr="003159B5">
        <w:rPr>
          <w:spacing w:val="0"/>
        </w:rPr>
        <w:t xml:space="preserve"> </w:t>
      </w:r>
      <w:r w:rsidRPr="00C41583">
        <w:rPr>
          <w:spacing w:val="0"/>
        </w:rPr>
        <w:t>no later than 45 days prior to the requested date of termination, attesting that the requirements established pursuant to this subsection are met, shall be deemed sufficient proof</w:t>
      </w:r>
      <w:r w:rsidRPr="003159B5">
        <w:rPr>
          <w:spacing w:val="0"/>
        </w:rPr>
        <w:t>.</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(4)</w:t>
      </w:r>
      <w:r w:rsidRPr="003159B5">
        <w:rPr>
          <w:spacing w:val="0"/>
        </w:rPr>
        <w:tab/>
      </w:r>
      <w:r w:rsidRPr="00C41583">
        <w:rPr>
          <w:spacing w:val="0"/>
        </w:rPr>
        <w:t>Nothing in P.L.    , c.    (C.        ) (pending before the Legislature as this bill) shall relieve a service recipient of an obligation to return equipment to the service provider or to be charged a lawful unreturned equipment charge nor shall a service recipient be relieved from any amounts owed for any equipment purchased by the service recipient</w:t>
      </w:r>
      <w:r w:rsidRPr="003159B5">
        <w:rPr>
          <w:spacing w:val="0"/>
        </w:rPr>
        <w:t>.</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c.</w:t>
      </w:r>
      <w:r w:rsidRPr="003159B5">
        <w:rPr>
          <w:spacing w:val="0"/>
        </w:rPr>
        <w:tab/>
        <w:t>For purposes of this section:</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"Assisted living facility" means an assisted living residence or comprehensive personal care home licensed pursuant to P.L.1971, c.136 (C.26:2H-1 et seq.).</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"Cable television company" and “cable television service” shall have the same meaning as provided in section 3 of P.L.1972, c.186 (C.48:5A-3).</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“Certified mail” shall have same meaning as provided in R.S.1:1-2.</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"Dementia care home" means a community residential facility which: (1) provides services to residents with special needs, including, but not limited to, persons with Alzheimer's disease and related disorders or other forms of dementia; (2) is subject to the licensure authority of the Department of Health as a health care facility pursuant to P.L.1971, c.136 (C.26:2H-1 et seq.); (3) and meets the requirements of section 19 of P.L.2015, c.125 (C.26:2H-150).</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"Internet service provider" shall have same meaning as provided in section 3 of P.L.2007, c.272 (C.56:8-170).</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"Long-term care facility" means a nursing home, assisted living residence, comprehensive personal care home, residential health care facility, or dementia care home licensed pursuant to P.L.1971, c.136 (C.26:2H-1 et seq.).</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"Physician" means a physician authorized by law to practice medicine in this or any other state and any other person authorized by law to treat sick and injured human beings in this or any other state.</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“Service provider” means a telecommunications service provider, a cable television company, or an Internet service provider.</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“Service recipient” means any individual who resides in this State who receives telecommunications service, cable television service, or Internet service from a service provider through equipment that is located in this State.</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"Telecommunications service provider" means any person, business or organization qualified to do business in this State that provides a telecommunications service that is subject to regulation by the Board of Public Utilities pursuant to Title 48 of the Revised Statutes.</w:t>
      </w: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23BA9" w:rsidRPr="003159B5" w:rsidRDefault="00C23BA9" w:rsidP="00C23BA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59B5">
        <w:rPr>
          <w:spacing w:val="0"/>
        </w:rPr>
        <w:tab/>
        <w:t>2.</w:t>
      </w:r>
      <w:r w:rsidRPr="003159B5">
        <w:rPr>
          <w:spacing w:val="0"/>
        </w:rPr>
        <w:tab/>
        <w:t xml:space="preserve">This act shall take effect on the first day of the </w:t>
      </w:r>
      <w:r w:rsidR="00F95AF5">
        <w:rPr>
          <w:spacing w:val="0"/>
        </w:rPr>
        <w:t>12th</w:t>
      </w:r>
      <w:r w:rsidRPr="003159B5">
        <w:rPr>
          <w:spacing w:val="0"/>
        </w:rPr>
        <w:t xml:space="preserve"> month next following enactment.</w:t>
      </w:r>
    </w:p>
    <w:p w:rsidR="00C23BA9" w:rsidRDefault="00C23BA9" w:rsidP="00C23BA9"/>
    <w:p w:rsidR="00E7752C" w:rsidRDefault="00E7752C" w:rsidP="00E7752C"/>
    <w:p w:rsidR="00C41583" w:rsidRDefault="00C41583" w:rsidP="00C41583">
      <w:pPr>
        <w:jc w:val="center"/>
      </w:pPr>
      <w:r w:rsidRPr="00D71D68">
        <w:t>STATEMENT</w:t>
      </w:r>
    </w:p>
    <w:p w:rsidR="00C41583" w:rsidRDefault="00C41583" w:rsidP="00E7752C"/>
    <w:p w:rsidR="00C41583" w:rsidRPr="00C41583" w:rsidRDefault="00C41583" w:rsidP="00C41583">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This bill</w:t>
      </w:r>
      <w:r w:rsidRPr="00C41583">
        <w:rPr>
          <w:spacing w:val="0"/>
        </w:rPr>
        <w:t xml:space="preserve"> require</w:t>
      </w:r>
      <w:r>
        <w:rPr>
          <w:spacing w:val="0"/>
        </w:rPr>
        <w:t>s</w:t>
      </w:r>
      <w:r w:rsidRPr="00C41583">
        <w:rPr>
          <w:spacing w:val="0"/>
        </w:rPr>
        <w:t xml:space="preserve"> telecommunications, cable television, and Internet service providers (service providers) to allow service recipients to terminate service contracts following a physician’s referral to a long-term care facility </w:t>
      </w:r>
    </w:p>
    <w:p w:rsidR="00C41583" w:rsidRPr="00C41583" w:rsidRDefault="00C41583" w:rsidP="00C41583">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Under the bill</w:t>
      </w:r>
      <w:r w:rsidRPr="00C41583">
        <w:rPr>
          <w:spacing w:val="0"/>
        </w:rPr>
        <w:t>, a service provider doing business in this State is required to allow a service recipient to terminate the contract in accordance with</w:t>
      </w:r>
      <w:r>
        <w:rPr>
          <w:spacing w:val="0"/>
        </w:rPr>
        <w:t xml:space="preserve"> the bill.  The bill</w:t>
      </w:r>
      <w:r w:rsidRPr="00C41583">
        <w:rPr>
          <w:spacing w:val="0"/>
        </w:rPr>
        <w:t xml:space="preserve"> require</w:t>
      </w:r>
      <w:r w:rsidR="00F95AF5">
        <w:rPr>
          <w:spacing w:val="0"/>
        </w:rPr>
        <w:t>s</w:t>
      </w:r>
      <w:r w:rsidRPr="00C41583">
        <w:rPr>
          <w:spacing w:val="0"/>
        </w:rPr>
        <w:t xml:space="preserve"> a service provider to permit a service recipient to terminate, without incurring an early termination fee, the contract for those services as provided in the bill.</w:t>
      </w:r>
    </w:p>
    <w:p w:rsidR="00C41583" w:rsidRPr="00C41583" w:rsidRDefault="00C41583" w:rsidP="00C41583">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w:t>
      </w:r>
      <w:r w:rsidRPr="00C41583">
        <w:rPr>
          <w:spacing w:val="0"/>
        </w:rPr>
        <w:t xml:space="preserve"> require</w:t>
      </w:r>
      <w:r w:rsidR="00F95AF5">
        <w:rPr>
          <w:spacing w:val="0"/>
        </w:rPr>
        <w:t>s</w:t>
      </w:r>
      <w:r w:rsidRPr="00C41583">
        <w:rPr>
          <w:spacing w:val="0"/>
        </w:rPr>
        <w:t xml:space="preserve"> a service recipient to provide, unless waived or not required by the service provider, the service provider with no less than with 45 days’ notice prior to the contract termination or cancellation; provided, however, a service provider is to waive the notice requirement and permit the termination within 48 hours if a physician’s order requires immediate relocation to a long-term care facility.  A service provider may require written proof of a service recipient’s relocation to a long-term facility.  If the service provider requires written proof, then the delivery of a written notice to the service provider of the contract termination and a letter signed by the service recipient’s physician, no later than 45 days prior to the scheduled date of termination, is deemed sufficient proof.</w:t>
      </w:r>
    </w:p>
    <w:p w:rsidR="00C41583" w:rsidRPr="00C41583" w:rsidRDefault="00C41583" w:rsidP="00C41583">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The bill</w:t>
      </w:r>
      <w:r w:rsidR="00F95AF5">
        <w:rPr>
          <w:spacing w:val="0"/>
        </w:rPr>
        <w:t xml:space="preserve"> further</w:t>
      </w:r>
      <w:r w:rsidRPr="00C41583">
        <w:rPr>
          <w:spacing w:val="0"/>
        </w:rPr>
        <w:t xml:space="preserve"> provide</w:t>
      </w:r>
      <w:r w:rsidR="00F95AF5">
        <w:rPr>
          <w:spacing w:val="0"/>
        </w:rPr>
        <w:t>s</w:t>
      </w:r>
      <w:r w:rsidRPr="00C41583">
        <w:rPr>
          <w:spacing w:val="0"/>
        </w:rPr>
        <w:t xml:space="preserve"> that nothing in the bill is to relieve a service recipient of an obligation to return equipment to the service provider or to be charged a lawful unreturned equipment charge, nor is a service recipient relieved from any amounts owed for any equipment purchased by the service recipient.</w:t>
      </w:r>
    </w:p>
    <w:sectPr w:rsidR="00C41583" w:rsidRPr="00C41583" w:rsidSect="001B62D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F5B" w:rsidRDefault="00D82F5B">
      <w:r>
        <w:separator/>
      </w:r>
    </w:p>
  </w:endnote>
  <w:endnote w:type="continuationSeparator" w:id="0">
    <w:p w:rsidR="00D82F5B" w:rsidRDefault="00D8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F5B" w:rsidRDefault="00D82F5B">
      <w:r>
        <w:separator/>
      </w:r>
    </w:p>
  </w:footnote>
  <w:footnote w:type="continuationSeparator" w:id="0">
    <w:p w:rsidR="00D82F5B" w:rsidRDefault="00D82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7A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62D1" w:rsidRDefault="001B62D1" w:rsidP="001B62D1">
    <w:pPr>
      <w:pStyle w:val="bpuHeadSpon"/>
    </w:pPr>
    <w:r w:rsidRPr="001B62D1">
      <w:rPr>
        <w:rStyle w:val="bpuHeadSponChar"/>
      </w:rPr>
      <w:t>A2118</w:t>
    </w:r>
    <w:r>
      <w:t xml:space="preserve"> TULLY, SWAIN</w:t>
    </w:r>
  </w:p>
  <w:p w:rsidR="001B62D1" w:rsidRDefault="001B62D1" w:rsidP="001B62D1">
    <w:pPr>
      <w:pStyle w:val="bpuHeadSpon"/>
    </w:pPr>
    <w:r>
      <w:fldChar w:fldCharType="begin"/>
    </w:r>
    <w:r>
      <w:instrText xml:space="preserve"> PAGE  \* MERGEFORMAT </w:instrText>
    </w:r>
    <w:r>
      <w:fldChar w:fldCharType="separate"/>
    </w:r>
    <w:r w:rsidR="00837AB4">
      <w:rPr>
        <w:noProof/>
      </w:rPr>
      <w:t>4</w:t>
    </w:r>
    <w:r>
      <w:fldChar w:fldCharType="end"/>
    </w:r>
  </w:p>
  <w:p w:rsidR="001B62D1" w:rsidRPr="00AF575C" w:rsidRDefault="001B62D1" w:rsidP="001B62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62D1" w:rsidRDefault="001B62D1" w:rsidP="001B62D1">
    <w:pPr>
      <w:pStyle w:val="bpuHeadSpon"/>
    </w:pPr>
    <w:r w:rsidRPr="001B62D1">
      <w:rPr>
        <w:rStyle w:val="bpuHeadSponChar"/>
      </w:rPr>
      <w:t>A2118</w:t>
    </w:r>
    <w:r>
      <w:t xml:space="preserve"> TULLY, SWAIN</w:t>
    </w:r>
  </w:p>
  <w:p w:rsidR="001B62D1" w:rsidRDefault="001B62D1" w:rsidP="001B62D1">
    <w:pPr>
      <w:pStyle w:val="bpuHeadSpon"/>
    </w:pPr>
    <w:r>
      <w:fldChar w:fldCharType="begin"/>
    </w:r>
    <w:r>
      <w:instrText xml:space="preserve"> PAGE  \* MERGEFORMAT </w:instrText>
    </w:r>
    <w:r>
      <w:fldChar w:fldCharType="separate"/>
    </w:r>
    <w:r w:rsidR="00837AB4">
      <w:rPr>
        <w:noProof/>
      </w:rPr>
      <w:t>2</w:t>
    </w:r>
    <w:r>
      <w:fldChar w:fldCharType="end"/>
    </w:r>
  </w:p>
  <w:p w:rsidR="001B62D1" w:rsidRDefault="001B62D1" w:rsidP="001B62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F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42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2D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3D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7AB4"/>
    <w:rsid w:val="00841F07"/>
    <w:rsid w:val="008462AA"/>
    <w:rsid w:val="00846D3E"/>
    <w:rsid w:val="0084725C"/>
    <w:rsid w:val="008627AA"/>
    <w:rsid w:val="008628FF"/>
    <w:rsid w:val="00867FC7"/>
    <w:rsid w:val="00874609"/>
    <w:rsid w:val="00874CBE"/>
    <w:rsid w:val="0087660A"/>
    <w:rsid w:val="008823BC"/>
    <w:rsid w:val="008859B3"/>
    <w:rsid w:val="008B313B"/>
    <w:rsid w:val="008B4545"/>
    <w:rsid w:val="008B6342"/>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2A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3BA9"/>
    <w:rsid w:val="00C3401C"/>
    <w:rsid w:val="00C41583"/>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029"/>
    <w:rsid w:val="00D81BE1"/>
    <w:rsid w:val="00D82F5B"/>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DC5"/>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697"/>
    <w:rsid w:val="00F0415D"/>
    <w:rsid w:val="00F14E45"/>
    <w:rsid w:val="00F17CFC"/>
    <w:rsid w:val="00F42480"/>
    <w:rsid w:val="00F62572"/>
    <w:rsid w:val="00F6488F"/>
    <w:rsid w:val="00F70CF6"/>
    <w:rsid w:val="00F85DDC"/>
    <w:rsid w:val="00F91244"/>
    <w:rsid w:val="00F95319"/>
    <w:rsid w:val="00F95AF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070697-899B-4132-9A24-E01AB10DF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F76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697"/>
    <w:rPr>
      <w:rFonts w:ascii="Segoe UI" w:hAnsi="Segoe UI" w:cs="Segoe UI"/>
      <w:spacing w:val="4"/>
      <w:sz w:val="18"/>
      <w:szCs w:val="18"/>
    </w:rPr>
  </w:style>
  <w:style w:type="character" w:styleId="LineNumber">
    <w:name w:val="line number"/>
    <w:basedOn w:val="DefaultParagraphFont"/>
    <w:semiHidden/>
    <w:unhideWhenUsed/>
    <w:rsid w:val="001B6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7786A-30D0-4A23-ADD5-3B1FDF06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1048</Words>
  <Characters>5908</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A2118</vt:lpstr>
    </vt:vector>
  </TitlesOfParts>
  <Manager>R225</Manager>
  <Company>OFFICE of LEGISLATIVE SERVICES</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A2118</dc:title>
  <dc:creator>Assemblyman  TULLY, Assemblywoman  SWAIN</dc:creator>
  <cp:keywords>A2118|4|LP |160|0|0|!|0|</cp:keywords>
  <dc:description>PREFILED 2020</dc:description>
  <cp:lastModifiedBy>Siracusa, Nicole</cp:lastModifiedBy>
  <cp:revision>2</cp:revision>
  <cp:lastPrinted>2020-01-09T14:47:00Z</cp:lastPrinted>
  <dcterms:created xsi:type="dcterms:W3CDTF">2020-01-11T22:54:00Z</dcterms:created>
  <dcterms:modified xsi:type="dcterms:W3CDTF">2020-01-11T22:54:00Z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