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5196" w:rsidRDefault="00D567AD" w:rsidP="00605196">
      <w:pPr>
        <w:pStyle w:val="bpuReprint"/>
      </w:pPr>
      <w:r>
        <w:t>[Second Reprint]</w:t>
      </w:r>
    </w:p>
    <w:p w:rsidR="00A01FC3" w:rsidRDefault="00A01FC3" w:rsidP="00A01FC3">
      <w:pPr>
        <w:pStyle w:val="bpuBill"/>
      </w:pPr>
      <w:r>
        <w:t xml:space="preserve">ASSEMBLY, No. 2152 </w:t>
      </w:r>
    </w:p>
    <w:p w:rsidR="00A01FC3" w:rsidRPr="00A01FC3" w:rsidRDefault="00A01FC3" w:rsidP="00A01F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4311964" r:id="rId8"/>
        </w:object>
      </w:r>
    </w:p>
    <w:p w:rsidR="00A01FC3" w:rsidRDefault="00A01FC3" w:rsidP="00A01FC3">
      <w:pPr>
        <w:pStyle w:val="bpuState"/>
      </w:pPr>
      <w:r>
        <w:t>STATE OF NEW JERSEY</w:t>
      </w:r>
    </w:p>
    <w:p w:rsidR="00A01FC3" w:rsidRDefault="00A01FC3" w:rsidP="00A01FC3">
      <w:pPr>
        <w:pStyle w:val="bpuLegislature"/>
      </w:pPr>
      <w:r>
        <w:t>219th LEGISLATURE</w:t>
      </w:r>
    </w:p>
    <w:p w:rsidR="00A01FC3" w:rsidRDefault="00A01FC3" w:rsidP="00A01FC3">
      <w:pPr>
        <w:pStyle w:val="bpuWpGraphic"/>
      </w:pPr>
      <w:r>
        <w:object w:dxaOrig="8985" w:dyaOrig="255">
          <v:shape id="_x0000_i1026" type="#_x0000_t75" style="width:6in;height:12.1pt" o:ole="">
            <v:imagedata r:id="rId7" o:title=""/>
          </v:shape>
          <o:OLEObject Type="Embed" ProgID="WPWin6.1" ShapeID="_x0000_i1026" DrawAspect="Content" ObjectID="_1684311965" r:id="rId9"/>
        </w:object>
      </w:r>
      <w:r>
        <w:t xml:space="preserve">  </w:t>
      </w:r>
    </w:p>
    <w:p w:rsidR="00A01FC3" w:rsidRDefault="00A01FC3" w:rsidP="00A01FC3">
      <w:pPr>
        <w:pStyle w:val="bpuIntro"/>
      </w:pPr>
      <w:r>
        <w:t>PRE-FILED FOR INTRODUCTION IN THE 2020 SESSION</w:t>
      </w:r>
    </w:p>
    <w:p w:rsidR="00A01FC3" w:rsidRDefault="00A01FC3" w:rsidP="00A01FC3">
      <w:pPr>
        <w:pStyle w:val="bpuIntro"/>
      </w:pPr>
    </w:p>
    <w:p w:rsidR="00A01FC3" w:rsidRDefault="00A01FC3" w:rsidP="00A01FC3">
      <w:pPr>
        <w:pStyle w:val="bpuIntro"/>
        <w:sectPr w:rsidR="00A01FC3" w:rsidSect="00E711D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01FC3" w:rsidRDefault="00A01FC3" w:rsidP="00A01FC3">
      <w:pPr>
        <w:pStyle w:val="bpuIntro"/>
      </w:pPr>
    </w:p>
    <w:p w:rsidR="00A01FC3" w:rsidRDefault="00A01FC3" w:rsidP="00A01FC3">
      <w:pPr>
        <w:pStyle w:val="bpuSponsor"/>
      </w:pPr>
      <w:r>
        <w:t>Sponsored by:</w:t>
      </w:r>
    </w:p>
    <w:p w:rsidR="00A01FC3" w:rsidRDefault="00A01FC3" w:rsidP="00A01FC3">
      <w:pPr>
        <w:pStyle w:val="bpuSponsor"/>
      </w:pPr>
      <w:r>
        <w:t>Assemblyman  RAJ MUKHERJI</w:t>
      </w:r>
    </w:p>
    <w:p w:rsidR="00A01FC3" w:rsidRDefault="00A01FC3" w:rsidP="00A01FC3">
      <w:pPr>
        <w:pStyle w:val="bpuSponsor"/>
      </w:pPr>
      <w:r>
        <w:t>District 33 (Hudson)</w:t>
      </w:r>
    </w:p>
    <w:p w:rsidR="00A01FC3" w:rsidRDefault="00A01FC3" w:rsidP="00A01FC3">
      <w:pPr>
        <w:pStyle w:val="bpuSponsor"/>
      </w:pPr>
      <w:r>
        <w:t>Assemblywoman  ELIANA PINTOR MARIN</w:t>
      </w:r>
    </w:p>
    <w:p w:rsidR="00A01FC3" w:rsidRDefault="00A01FC3" w:rsidP="00A01FC3">
      <w:pPr>
        <w:pStyle w:val="bpuSponsor"/>
      </w:pPr>
      <w:r>
        <w:t>District 29 (Essex)</w:t>
      </w:r>
    </w:p>
    <w:p w:rsidR="00A01FC3" w:rsidRDefault="00A01FC3" w:rsidP="00A01FC3">
      <w:pPr>
        <w:pStyle w:val="bpuSponsor"/>
      </w:pPr>
      <w:r>
        <w:t>Assemblyman  JAMEL C. HOLLEY</w:t>
      </w:r>
    </w:p>
    <w:p w:rsidR="00A01FC3" w:rsidRDefault="00A01FC3" w:rsidP="00A01FC3">
      <w:pPr>
        <w:pStyle w:val="bpuSponsor"/>
      </w:pPr>
      <w:r>
        <w:t>District 20 (Union)</w:t>
      </w:r>
    </w:p>
    <w:p w:rsidR="00A01FC3" w:rsidRDefault="00A01FC3" w:rsidP="00A01FC3">
      <w:pPr>
        <w:pStyle w:val="bpuSponsor"/>
      </w:pPr>
      <w:r>
        <w:t>Assemblyman  NICHOLAS CHIARAVALLOTI</w:t>
      </w:r>
    </w:p>
    <w:p w:rsidR="00A01FC3" w:rsidRDefault="00A01FC3" w:rsidP="00A01FC3">
      <w:pPr>
        <w:pStyle w:val="bpuSponsor"/>
      </w:pPr>
      <w:r>
        <w:t>District 31 (Hudson)</w:t>
      </w:r>
    </w:p>
    <w:p w:rsidR="00A01FC3" w:rsidRDefault="00A01FC3" w:rsidP="00A01FC3">
      <w:pPr>
        <w:pStyle w:val="bpuSponsor"/>
      </w:pPr>
    </w:p>
    <w:p w:rsidR="001C66D3" w:rsidRDefault="001C66D3" w:rsidP="001C66D3">
      <w:pPr>
        <w:pStyle w:val="bpuSponsor"/>
      </w:pPr>
      <w:r>
        <w:t>Co-Sponsored by:</w:t>
      </w:r>
    </w:p>
    <w:p w:rsidR="001C66D3" w:rsidRPr="001C66D3" w:rsidRDefault="001C66D3" w:rsidP="001C66D3">
      <w:pPr>
        <w:pStyle w:val="bpuSponsor"/>
      </w:pPr>
      <w:r w:rsidRPr="001C66D3">
        <w:t xml:space="preserve">Assemblymen Benson, McKeon, Coughlin, Assemblywomen </w:t>
      </w:r>
      <w:proofErr w:type="spellStart"/>
      <w:r w:rsidRPr="001C66D3">
        <w:t>Chaparro</w:t>
      </w:r>
      <w:proofErr w:type="spellEnd"/>
      <w:r w:rsidRPr="001C66D3">
        <w:t xml:space="preserve"> and Reynolds-Jackson</w:t>
      </w:r>
    </w:p>
    <w:p w:rsidR="00A01FC3" w:rsidRPr="00A01FC3" w:rsidRDefault="00A01FC3" w:rsidP="00A01FC3"/>
    <w:p w:rsidR="00A01FC3" w:rsidRDefault="00A01FC3" w:rsidP="00A01FC3">
      <w:pPr>
        <w:pStyle w:val="bpuSponsor"/>
      </w:pPr>
    </w:p>
    <w:p w:rsidR="00E711DD" w:rsidRPr="00E711DD" w:rsidRDefault="00E711DD" w:rsidP="00E711DD"/>
    <w:p w:rsidR="00A01FC3" w:rsidRDefault="00A01FC3" w:rsidP="00A01FC3">
      <w:pPr>
        <w:pStyle w:val="bpuSponsor"/>
      </w:pPr>
    </w:p>
    <w:p w:rsidR="00A01FC3" w:rsidRDefault="00A01FC3" w:rsidP="00A01FC3">
      <w:pPr>
        <w:pStyle w:val="bpuSponsor"/>
      </w:pPr>
      <w:r>
        <w:t>SYNOPSIS</w:t>
      </w:r>
    </w:p>
    <w:p w:rsidR="008E6096" w:rsidRDefault="00084BE0" w:rsidP="008E6096">
      <w:pPr>
        <w:pStyle w:val="bpuNormText"/>
      </w:pPr>
      <w:r>
        <w:tab/>
      </w:r>
      <w:r w:rsidR="008E6096">
        <w:t xml:space="preserve">Authorizes DCA, DEP, DOT, and municipalities, to provide priority consideration to permit applications for green building projects. </w:t>
      </w:r>
    </w:p>
    <w:p w:rsidR="00A01FC3" w:rsidRDefault="00A01FC3" w:rsidP="00A01FC3">
      <w:pPr>
        <w:pStyle w:val="bpuNormText"/>
      </w:pPr>
    </w:p>
    <w:p w:rsidR="00A01FC3" w:rsidRDefault="00A01FC3" w:rsidP="00A01FC3">
      <w:pPr>
        <w:pStyle w:val="bpuSponsor"/>
      </w:pPr>
      <w:r>
        <w:t xml:space="preserve">CURRENT VERSION OF TEXT </w:t>
      </w:r>
    </w:p>
    <w:p w:rsidR="00A01FC3" w:rsidRDefault="00D567AD" w:rsidP="00A01FC3">
      <w:pPr>
        <w:pStyle w:val="bpuNormText"/>
      </w:pPr>
      <w:r>
        <w:tab/>
        <w:t>As amended by the General Assembly on June 3, 2021.</w:t>
      </w:r>
    </w:p>
    <w:p w:rsidR="00A01FC3" w:rsidRDefault="00A01FC3" w:rsidP="00A01FC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01FC3" w:rsidRDefault="00A01FC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01FC3" w:rsidSect="00A01FC3">
          <w:type w:val="continuous"/>
          <w:pgSz w:w="12240" w:h="20160" w:code="5"/>
          <w:pgMar w:top="2160" w:right="2275" w:bottom="1440" w:left="2275" w:header="72" w:footer="720" w:gutter="0"/>
          <w:pgNumType w:start="1"/>
          <w:cols w:space="720"/>
          <w:docGrid w:linePitch="360"/>
        </w:sectPr>
      </w:pPr>
    </w:p>
    <w:p w:rsidR="00F15E25" w:rsidRPr="00677316" w:rsidRDefault="00F15E25" w:rsidP="00F15E25">
      <w:pPr>
        <w:pStyle w:val="HangingAnAct"/>
        <w:rPr>
          <w:rStyle w:val="HangingAnActChar"/>
        </w:rPr>
      </w:pPr>
      <w:r w:rsidRPr="00B749C9">
        <w:rPr>
          <w:rStyle w:val="BillHead"/>
        </w:rPr>
        <w:lastRenderedPageBreak/>
        <w:t>An Act</w:t>
      </w:r>
      <w:r w:rsidRPr="006B7FA7">
        <w:rPr>
          <w:rStyle w:val="HangingAnActChar"/>
        </w:rPr>
        <w:t xml:space="preserve"> </w:t>
      </w:r>
      <w:r>
        <w:rPr>
          <w:rStyle w:val="HangingAnActChar"/>
          <w:rFonts w:ascii="Albertus Extra Bold" w:hAnsi="Albertus Extra Bold"/>
          <w:b/>
          <w:vertAlign w:val="superscript"/>
        </w:rPr>
        <w:t>1</w:t>
      </w:r>
      <w:r w:rsidRPr="00DF736B">
        <w:rPr>
          <w:rStyle w:val="HangingAnActChar"/>
          <w:rFonts w:ascii="Albertus Extra Bold" w:hAnsi="Albertus Extra Bold"/>
          <w:b/>
        </w:rPr>
        <w:t>[</w:t>
      </w:r>
      <w:r>
        <w:t>providing for</w:t>
      </w:r>
      <w:r w:rsidRPr="00DF736B">
        <w:rPr>
          <w:rFonts w:ascii="Albertus Extra Bold" w:hAnsi="Albertus Extra Bold"/>
          <w:b/>
        </w:rPr>
        <w:t>]</w:t>
      </w:r>
      <w:r>
        <w:t xml:space="preserve"> </w:t>
      </w:r>
      <w:r>
        <w:rPr>
          <w:u w:val="single"/>
        </w:rPr>
        <w:t>concerning</w:t>
      </w:r>
      <w:r>
        <w:rPr>
          <w:rFonts w:ascii="Albertus Extra Bold" w:hAnsi="Albertus Extra Bold"/>
          <w:b/>
          <w:vertAlign w:val="superscript"/>
        </w:rPr>
        <w:t>1</w:t>
      </w:r>
      <w:r>
        <w:t xml:space="preserve"> priority consideration of permit applications for green building projects and supplementing P.L.1975, c.291 and Titles 13, 27, and 52 of the Revised Statutes.</w:t>
      </w:r>
    </w:p>
    <w:p w:rsidR="00B749C9" w:rsidRPr="00D71D68" w:rsidRDefault="00B749C9" w:rsidP="00B749C9"/>
    <w:p w:rsidR="00B749C9" w:rsidRPr="00AA7880" w:rsidRDefault="00B749C9" w:rsidP="00B749C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749C9" w:rsidRDefault="00B749C9" w:rsidP="00B749C9"/>
    <w:p w:rsidR="00D567AD" w:rsidRPr="00D567AD" w:rsidRDefault="00D567AD" w:rsidP="00D567AD">
      <w:r w:rsidRPr="00D567AD">
        <w:tab/>
        <w:t>1.</w:t>
      </w:r>
      <w:r w:rsidRPr="00D567AD">
        <w:tab/>
        <w:t xml:space="preserve">a.  A </w:t>
      </w:r>
      <w:r w:rsidRPr="00D567AD">
        <w:rPr>
          <w:rFonts w:ascii="Albertus Extra Bold" w:hAnsi="Albertus Extra Bold"/>
          <w:b/>
          <w:vertAlign w:val="superscript"/>
        </w:rPr>
        <w:t>1</w:t>
      </w:r>
      <w:r w:rsidRPr="00D567AD">
        <w:rPr>
          <w:u w:val="single"/>
        </w:rPr>
        <w:t>governing body of a municipality may enact an ordinance requiring a</w:t>
      </w:r>
      <w:r w:rsidRPr="00D567AD">
        <w:rPr>
          <w:rFonts w:ascii="Albertus Extra Bold" w:hAnsi="Albertus Extra Bold"/>
          <w:b/>
          <w:vertAlign w:val="superscript"/>
        </w:rPr>
        <w:t>1</w:t>
      </w:r>
      <w:r w:rsidRPr="00D567AD">
        <w:t xml:space="preserve"> municipal agency </w:t>
      </w:r>
      <w:r w:rsidRPr="00D567AD">
        <w:rPr>
          <w:rFonts w:ascii="Albertus Extra Bold" w:hAnsi="Albertus Extra Bold"/>
          <w:b/>
          <w:vertAlign w:val="superscript"/>
        </w:rPr>
        <w:t>1</w:t>
      </w:r>
      <w:r w:rsidRPr="00D567AD">
        <w:rPr>
          <w:rFonts w:ascii="Albertus Extra Bold" w:hAnsi="Albertus Extra Bold"/>
          <w:b/>
        </w:rPr>
        <w:t>[</w:t>
      </w:r>
      <w:r w:rsidRPr="00D567AD">
        <w:t>shall</w:t>
      </w:r>
      <w:r w:rsidRPr="00D567AD">
        <w:rPr>
          <w:rFonts w:ascii="Albertus Extra Bold" w:hAnsi="Albertus Extra Bold"/>
          <w:b/>
        </w:rPr>
        <w:t>]</w:t>
      </w:r>
      <w:r w:rsidRPr="00D567AD">
        <w:t xml:space="preserve"> </w:t>
      </w:r>
      <w:r w:rsidRPr="00D567AD">
        <w:rPr>
          <w:u w:val="single"/>
        </w:rPr>
        <w:t>to</w:t>
      </w:r>
      <w:r w:rsidRPr="00D567AD">
        <w:rPr>
          <w:rFonts w:ascii="Albertus Extra Bold" w:hAnsi="Albertus Extra Bold"/>
          <w:b/>
          <w:vertAlign w:val="superscript"/>
        </w:rPr>
        <w:t>1</w:t>
      </w:r>
      <w:r w:rsidRPr="00D567AD">
        <w:t xml:space="preserve"> provide priority consideration </w:t>
      </w:r>
      <w:r w:rsidRPr="00D567AD">
        <w:rPr>
          <w:rFonts w:ascii="Albertus Extra Bold" w:hAnsi="Albertus Extra Bold"/>
          <w:b/>
          <w:vertAlign w:val="superscript"/>
        </w:rPr>
        <w:t>2</w:t>
      </w:r>
      <w:r w:rsidRPr="00D567AD">
        <w:rPr>
          <w:spacing w:val="0"/>
          <w:u w:val="single"/>
        </w:rPr>
        <w:t>, to the extent practicable as determined by the governing body,</w:t>
      </w:r>
      <w:r w:rsidRPr="00D567AD">
        <w:rPr>
          <w:rFonts w:ascii="Albertus Extra Bold" w:hAnsi="Albertus Extra Bold"/>
          <w:b/>
          <w:vertAlign w:val="superscript"/>
        </w:rPr>
        <w:t>2</w:t>
      </w:r>
      <w:r w:rsidRPr="00D567AD">
        <w:t xml:space="preserve"> to any application for development associated with a green building project submitted to the municipal agency for review pursuant to the "Municipal Land Use Law," P.L.1975, c.291 (C.40:55D-1 et seq.), provided the application includes a letter from a licensed architect or engineer pursuant to subsection c. of this section.</w:t>
      </w:r>
    </w:p>
    <w:p w:rsidR="00D567AD" w:rsidRPr="00D567AD" w:rsidRDefault="00D567AD" w:rsidP="00D567AD">
      <w:r w:rsidRPr="00D567AD">
        <w:tab/>
        <w:t>b.</w:t>
      </w:r>
      <w:r w:rsidRPr="00D567AD">
        <w:tab/>
        <w:t xml:space="preserve">A project </w:t>
      </w:r>
      <w:r w:rsidRPr="00D567AD">
        <w:rPr>
          <w:rFonts w:ascii="Albertus Extra Bold" w:hAnsi="Albertus Extra Bold"/>
          <w:b/>
          <w:vertAlign w:val="superscript"/>
        </w:rPr>
        <w:t>2</w:t>
      </w:r>
      <w:r w:rsidRPr="00D567AD">
        <w:rPr>
          <w:rFonts w:ascii="Albertus Extra Bold" w:hAnsi="Albertus Extra Bold"/>
          <w:b/>
        </w:rPr>
        <w:t>[</w:t>
      </w:r>
      <w:r w:rsidRPr="00D567AD">
        <w:t>shall</w:t>
      </w:r>
      <w:r w:rsidRPr="00D567AD">
        <w:rPr>
          <w:rFonts w:ascii="Albertus Extra Bold" w:hAnsi="Albertus Extra Bold"/>
          <w:b/>
        </w:rPr>
        <w:t>]</w:t>
      </w:r>
      <w:r w:rsidRPr="00D567AD">
        <w:rPr>
          <w:spacing w:val="0"/>
        </w:rPr>
        <w:t xml:space="preserve"> </w:t>
      </w:r>
      <w:r w:rsidRPr="00D567AD">
        <w:rPr>
          <w:spacing w:val="0"/>
          <w:u w:val="single"/>
        </w:rPr>
        <w:t>may</w:t>
      </w:r>
      <w:r w:rsidRPr="00D567AD">
        <w:rPr>
          <w:rFonts w:ascii="Albertus Extra Bold" w:hAnsi="Albertus Extra Bold"/>
          <w:b/>
          <w:vertAlign w:val="superscript"/>
        </w:rPr>
        <w:t>2</w:t>
      </w:r>
      <w:r w:rsidRPr="00D567AD">
        <w:t xml:space="preserve"> qualify as a “green building project” if the project </w:t>
      </w:r>
      <w:r w:rsidRPr="00D567AD">
        <w:rPr>
          <w:iCs/>
        </w:rPr>
        <w:t>has documented incorporation of site, water, energy, and resource efficiency measures and demonstrable practices to promote the health and well-being of the building occupants.  Documentation shall be submitted pursuant to subsection c. of this section demonstrating that the project has been registered for certification under the Leadership in Energy and Environmental Design (LEED) Green Building Rating System as adopted by the United States Green Building Council, or an alternative compliance path in accordance with the American Society of Heating, Refrigerating and Air-Conditioning Engineers (ASHRAE) Standard 189 minimum requirements, compliance with American National Standards Institute (ANSI) 700 National Green Building Standard, or compliance with minimum performance requirements of the International Green Construction Code.  The term “green building” is reserved for projects which take a holistic approach and do not focus on single measures, such as only energy performance.</w:t>
      </w:r>
    </w:p>
    <w:p w:rsidR="00D567AD" w:rsidRPr="00D567AD" w:rsidRDefault="00D567AD" w:rsidP="00D567AD">
      <w:r w:rsidRPr="00D567AD">
        <w:tab/>
        <w:t>c.</w:t>
      </w:r>
      <w:r w:rsidRPr="00D567AD">
        <w:tab/>
        <w:t xml:space="preserve">An application receiving priority pursuant to subsection a. of this section shall include a letter from a licensed architect or engineer describing how the project qualifies as a green building project pursuant to subsection b. of this section.  The letter shall include documentation demonstrating how the project qualifies as a green building project and </w:t>
      </w:r>
      <w:r w:rsidRPr="00D567AD">
        <w:rPr>
          <w:iCs/>
        </w:rPr>
        <w:t>a narrative outlining the sustainable attributes of the project in accordance with the rating systems and standards set forth in subsection b. of this section</w:t>
      </w:r>
      <w:r w:rsidRPr="00D567AD">
        <w:t>.</w:t>
      </w:r>
    </w:p>
    <w:p w:rsidR="00506AD7" w:rsidRDefault="00D567AD" w:rsidP="00506AD7">
      <w:pPr>
        <w:tabs>
          <w:tab w:val="clear" w:pos="1440"/>
          <w:tab w:val="left" w:pos="1170"/>
        </w:tabs>
      </w:pPr>
      <w:r w:rsidRPr="00D567AD">
        <w:tab/>
        <w:t>2.</w:t>
      </w:r>
      <w:r w:rsidRPr="00D567AD">
        <w:tab/>
        <w:t>a.</w:t>
      </w:r>
      <w:r w:rsidRPr="00D567AD">
        <w:tab/>
        <w:t xml:space="preserve">The Department of Environmental Protection </w:t>
      </w:r>
      <w:r w:rsidRPr="00D567AD">
        <w:rPr>
          <w:rFonts w:ascii="Albertus Extra Bold" w:hAnsi="Albertus Extra Bold"/>
          <w:b/>
          <w:vertAlign w:val="superscript"/>
        </w:rPr>
        <w:t>1</w:t>
      </w:r>
      <w:r w:rsidRPr="00D567AD">
        <w:rPr>
          <w:rFonts w:ascii="Albertus Extra Bold" w:hAnsi="Albertus Extra Bold"/>
          <w:b/>
        </w:rPr>
        <w:t>[</w:t>
      </w:r>
      <w:r w:rsidRPr="00D567AD">
        <w:t>shall</w:t>
      </w:r>
      <w:r w:rsidRPr="00D567AD">
        <w:rPr>
          <w:rFonts w:ascii="Albertus Extra Bold" w:hAnsi="Albertus Extra Bold"/>
          <w:b/>
        </w:rPr>
        <w:t>]</w:t>
      </w:r>
      <w:r w:rsidR="00506AD7">
        <w:t xml:space="preserve"> </w:t>
      </w:r>
      <w:r w:rsidRPr="00D567AD">
        <w:rPr>
          <w:u w:val="single"/>
        </w:rPr>
        <w:t>ado</w:t>
      </w:r>
      <w:bookmarkStart w:id="0" w:name="_GoBack"/>
      <w:bookmarkEnd w:id="0"/>
      <w:r w:rsidRPr="00D567AD">
        <w:rPr>
          <w:u w:val="single"/>
        </w:rPr>
        <w:t>pt, pursuant to the provisions of the "Administrative Procedure</w:t>
      </w:r>
      <w:r w:rsidR="00506AD7">
        <w:br w:type="page"/>
      </w:r>
    </w:p>
    <w:p w:rsidR="00D567AD" w:rsidRPr="00D567AD" w:rsidRDefault="00D567AD" w:rsidP="00D567AD">
      <w:pPr>
        <w:tabs>
          <w:tab w:val="clear" w:pos="1440"/>
          <w:tab w:val="left" w:pos="1170"/>
        </w:tabs>
      </w:pPr>
      <w:r w:rsidRPr="00D567AD">
        <w:rPr>
          <w:u w:val="single"/>
        </w:rPr>
        <w:lastRenderedPageBreak/>
        <w:t>Act," P.L.1968, c.410 (C.52:14B-1 et seq.), rules and</w:t>
      </w:r>
      <w:r w:rsidR="00506AD7">
        <w:rPr>
          <w:u w:val="single"/>
        </w:rPr>
        <w:t xml:space="preserve"> </w:t>
      </w:r>
      <w:r w:rsidRPr="00D567AD">
        <w:rPr>
          <w:u w:val="single"/>
        </w:rPr>
        <w:t>regulations that</w:t>
      </w:r>
      <w:r w:rsidRPr="00D567AD">
        <w:rPr>
          <w:rFonts w:ascii="Albertus Extra Bold" w:hAnsi="Albertus Extra Bold"/>
          <w:b/>
          <w:vertAlign w:val="superscript"/>
        </w:rPr>
        <w:t>1</w:t>
      </w:r>
      <w:r w:rsidRPr="00D567AD">
        <w:t xml:space="preserve"> provide priority consideration </w:t>
      </w:r>
      <w:r w:rsidRPr="00D567AD">
        <w:rPr>
          <w:rFonts w:ascii="Albertus Extra Bold" w:hAnsi="Albertus Extra Bold"/>
          <w:b/>
          <w:vertAlign w:val="superscript"/>
        </w:rPr>
        <w:t>2</w:t>
      </w:r>
      <w:r w:rsidRPr="00D567AD">
        <w:rPr>
          <w:spacing w:val="0"/>
          <w:u w:val="single"/>
        </w:rPr>
        <w:t>, to the extent practicable as determined by the Commissioner of Environmental Protection,</w:t>
      </w:r>
      <w:r w:rsidRPr="00D567AD">
        <w:rPr>
          <w:rFonts w:ascii="Albertus Extra Bold" w:hAnsi="Albertus Extra Bold"/>
          <w:b/>
          <w:vertAlign w:val="superscript"/>
        </w:rPr>
        <w:t>2</w:t>
      </w:r>
      <w:r w:rsidRPr="00D567AD">
        <w:t xml:space="preserve"> to any application for a permit, approval, or other authorization issued by the department associated with a green building project, provided the application includes a letter from a licensed architect or engineer pursuant to subsection c. of this section.</w:t>
      </w:r>
    </w:p>
    <w:p w:rsidR="00D567AD" w:rsidRPr="00D567AD" w:rsidRDefault="00D567AD" w:rsidP="00D567AD">
      <w:r w:rsidRPr="00D567AD">
        <w:tab/>
        <w:t>b.</w:t>
      </w:r>
      <w:r w:rsidRPr="00D567AD">
        <w:tab/>
        <w:t xml:space="preserve">A project </w:t>
      </w:r>
      <w:r w:rsidRPr="00D567AD">
        <w:rPr>
          <w:rFonts w:ascii="Albertus Extra Bold" w:hAnsi="Albertus Extra Bold"/>
          <w:b/>
          <w:vertAlign w:val="superscript"/>
        </w:rPr>
        <w:t>2</w:t>
      </w:r>
      <w:r w:rsidRPr="00D567AD">
        <w:rPr>
          <w:rFonts w:ascii="Albertus Extra Bold" w:hAnsi="Albertus Extra Bold"/>
          <w:b/>
        </w:rPr>
        <w:t>[</w:t>
      </w:r>
      <w:r w:rsidRPr="00D567AD">
        <w:t>shall</w:t>
      </w:r>
      <w:r w:rsidRPr="00D567AD">
        <w:rPr>
          <w:rFonts w:ascii="Albertus Extra Bold" w:hAnsi="Albertus Extra Bold"/>
          <w:b/>
        </w:rPr>
        <w:t>]</w:t>
      </w:r>
      <w:r w:rsidRPr="00D567AD">
        <w:rPr>
          <w:spacing w:val="0"/>
        </w:rPr>
        <w:t xml:space="preserve"> </w:t>
      </w:r>
      <w:r w:rsidRPr="00D567AD">
        <w:rPr>
          <w:spacing w:val="0"/>
          <w:u w:val="single"/>
        </w:rPr>
        <w:t>may</w:t>
      </w:r>
      <w:r w:rsidRPr="00D567AD">
        <w:rPr>
          <w:rFonts w:ascii="Albertus Extra Bold" w:hAnsi="Albertus Extra Bold"/>
          <w:b/>
          <w:vertAlign w:val="superscript"/>
        </w:rPr>
        <w:t>2</w:t>
      </w:r>
      <w:r w:rsidRPr="00D567AD">
        <w:t xml:space="preserve"> qualify as a “green building project” if the project </w:t>
      </w:r>
      <w:r w:rsidRPr="00D567AD">
        <w:rPr>
          <w:iCs/>
        </w:rPr>
        <w:t>has documented incorporation of site, water, energy, and resource efficiency measures and demonstrable practices to promote the health and well-being of the building occupants.  Documentation shall be submitted pursuant to subsection c. of this section demonstrating that the project has been registered for certification under the Leadership in Energy and Environmental Design (LEED) Green Building Rating System as adopted by the United States Green Building Council, or an alternative compliance path in accordance with the American Society of Heating, Refrigerating and Air-Conditioning Engineers (ASHRAE) Standard 189 minimum requirements, compliance with American National Standards Institute (ANSI) 700 National Green Building Standard, or compliance with minimum performance requirements of the International Green Construction Code.  The term “green building” is reserved for projects which take a holistic approach and do not focus on single measures, such as only energy performance.</w:t>
      </w:r>
    </w:p>
    <w:p w:rsidR="00D567AD" w:rsidRPr="00D567AD" w:rsidRDefault="00D567AD" w:rsidP="00D567AD">
      <w:r w:rsidRPr="00D567AD">
        <w:tab/>
        <w:t>c.</w:t>
      </w:r>
      <w:r w:rsidRPr="00D567AD">
        <w:tab/>
        <w:t xml:space="preserve">An application receiving priority pursuant to subsection a. of this section shall include a letter from a licensed architect or engineer describing how the project qualifies as a green building project pursuant to subsection b. of this section.  The letter shall include documentation demonstrating how the project qualifies as a green building project and </w:t>
      </w:r>
      <w:r w:rsidRPr="00D567AD">
        <w:rPr>
          <w:iCs/>
        </w:rPr>
        <w:t>a narrative outlining the sustainable attributes of the project in accordance with the rating systems and standards set forth in subsection b. of this section</w:t>
      </w:r>
      <w:r w:rsidRPr="00D567AD">
        <w:t>.</w:t>
      </w:r>
    </w:p>
    <w:p w:rsidR="00D567AD" w:rsidRPr="00D567AD" w:rsidRDefault="00D567AD" w:rsidP="00D567AD"/>
    <w:p w:rsidR="00D567AD" w:rsidRPr="00D567AD" w:rsidRDefault="00D567AD" w:rsidP="00D567AD">
      <w:pPr>
        <w:tabs>
          <w:tab w:val="clear" w:pos="1440"/>
          <w:tab w:val="left" w:pos="1170"/>
        </w:tabs>
      </w:pPr>
      <w:r w:rsidRPr="00D567AD">
        <w:tab/>
        <w:t>3.</w:t>
      </w:r>
      <w:r w:rsidRPr="00D567AD">
        <w:tab/>
        <w:t>a.</w:t>
      </w:r>
      <w:r w:rsidRPr="00D567AD">
        <w:tab/>
        <w:t xml:space="preserve">The Department of Transportation </w:t>
      </w:r>
      <w:r w:rsidRPr="00D567AD">
        <w:rPr>
          <w:rFonts w:ascii="Albertus Extra Bold" w:hAnsi="Albertus Extra Bold"/>
          <w:b/>
          <w:vertAlign w:val="superscript"/>
        </w:rPr>
        <w:t>1</w:t>
      </w:r>
      <w:r w:rsidRPr="00D567AD">
        <w:rPr>
          <w:rFonts w:ascii="Albertus Extra Bold" w:hAnsi="Albertus Extra Bold"/>
          <w:b/>
        </w:rPr>
        <w:t>[</w:t>
      </w:r>
      <w:r w:rsidRPr="00D567AD">
        <w:t>shall</w:t>
      </w:r>
      <w:r w:rsidRPr="00D567AD">
        <w:rPr>
          <w:rFonts w:ascii="Albertus Extra Bold" w:hAnsi="Albertus Extra Bold"/>
          <w:b/>
        </w:rPr>
        <w:t>]</w:t>
      </w:r>
      <w:r w:rsidRPr="00D567AD">
        <w:t xml:space="preserve"> </w:t>
      </w:r>
      <w:r w:rsidRPr="00D567AD">
        <w:rPr>
          <w:u w:val="single"/>
        </w:rPr>
        <w:t>may adopt, pursuant to the provisions of the "Administrative Procedure Act," P.L.1968, c.410 (C.52:14B-1 et seq.), rules and regulations that</w:t>
      </w:r>
      <w:r w:rsidRPr="00D567AD">
        <w:rPr>
          <w:rFonts w:ascii="Albertus Extra Bold" w:hAnsi="Albertus Extra Bold"/>
          <w:b/>
          <w:vertAlign w:val="superscript"/>
        </w:rPr>
        <w:t>1</w:t>
      </w:r>
      <w:r w:rsidRPr="00D567AD">
        <w:t xml:space="preserve"> provide priority consideration </w:t>
      </w:r>
      <w:r w:rsidRPr="00D567AD">
        <w:rPr>
          <w:rFonts w:ascii="Albertus Extra Bold" w:hAnsi="Albertus Extra Bold"/>
          <w:b/>
          <w:vertAlign w:val="superscript"/>
        </w:rPr>
        <w:t>2</w:t>
      </w:r>
      <w:r w:rsidRPr="00D567AD">
        <w:rPr>
          <w:spacing w:val="0"/>
          <w:u w:val="single"/>
        </w:rPr>
        <w:t>, to the extent practicable as determined by the Commissioner of Transportation,</w:t>
      </w:r>
      <w:r w:rsidRPr="00D567AD">
        <w:rPr>
          <w:rFonts w:ascii="Albertus Extra Bold" w:hAnsi="Albertus Extra Bold"/>
          <w:b/>
          <w:vertAlign w:val="superscript"/>
        </w:rPr>
        <w:t>2</w:t>
      </w:r>
      <w:r w:rsidRPr="00D567AD">
        <w:t xml:space="preserve"> to any application for a permit, approval, or other authorization issued by the department associated with a green building project, provided the application includes a letter from a licensed architect or engineer pursuant to subsection c. of this section.</w:t>
      </w:r>
    </w:p>
    <w:p w:rsidR="00D567AD" w:rsidRPr="00D567AD" w:rsidRDefault="00D567AD" w:rsidP="00D567AD">
      <w:r w:rsidRPr="00D567AD">
        <w:tab/>
        <w:t>b.</w:t>
      </w:r>
      <w:r w:rsidRPr="00D567AD">
        <w:tab/>
        <w:t xml:space="preserve">A project </w:t>
      </w:r>
      <w:r w:rsidRPr="00D567AD">
        <w:rPr>
          <w:rFonts w:ascii="Albertus Extra Bold" w:hAnsi="Albertus Extra Bold"/>
          <w:b/>
          <w:vertAlign w:val="superscript"/>
        </w:rPr>
        <w:t>2</w:t>
      </w:r>
      <w:r w:rsidRPr="00D567AD">
        <w:rPr>
          <w:rFonts w:ascii="Albertus Extra Bold" w:hAnsi="Albertus Extra Bold"/>
          <w:b/>
        </w:rPr>
        <w:t>[</w:t>
      </w:r>
      <w:r w:rsidRPr="00D567AD">
        <w:t>shall</w:t>
      </w:r>
      <w:r w:rsidRPr="00D567AD">
        <w:rPr>
          <w:rFonts w:ascii="Albertus Extra Bold" w:hAnsi="Albertus Extra Bold"/>
          <w:b/>
        </w:rPr>
        <w:t>]</w:t>
      </w:r>
      <w:r w:rsidRPr="00D567AD">
        <w:rPr>
          <w:spacing w:val="0"/>
        </w:rPr>
        <w:t xml:space="preserve"> </w:t>
      </w:r>
      <w:r w:rsidRPr="00D567AD">
        <w:rPr>
          <w:spacing w:val="0"/>
          <w:u w:val="single"/>
        </w:rPr>
        <w:t>may</w:t>
      </w:r>
      <w:r w:rsidRPr="00D567AD">
        <w:rPr>
          <w:rFonts w:ascii="Albertus Extra Bold" w:hAnsi="Albertus Extra Bold"/>
          <w:b/>
          <w:vertAlign w:val="superscript"/>
        </w:rPr>
        <w:t>2</w:t>
      </w:r>
      <w:r w:rsidRPr="00D567AD">
        <w:t xml:space="preserve"> qualify as a “green building project” if the project </w:t>
      </w:r>
      <w:r w:rsidRPr="00D567AD">
        <w:rPr>
          <w:iCs/>
        </w:rPr>
        <w:t xml:space="preserve">has documented incorporation of site, water, energy, and resource efficiency measures and demonstrable practices to promote the health and well-being of the building occupants.  Documentation shall be submitted pursuant to subsection c. of this section demonstrating that the project has been registered for </w:t>
      </w:r>
      <w:r w:rsidRPr="00D567AD">
        <w:rPr>
          <w:iCs/>
        </w:rPr>
        <w:lastRenderedPageBreak/>
        <w:t>certification under the Leadership in Energy and Environmental Design (LEED) Green Building Rating System as adopted by the United States Green Building Council, or an alternative compliance path in accordance with the American Society of Heating, Refrigerating and Air-Conditioning Engineers (ASHRAE) Standard 189 minimum requirements, compliance with American National Standards Institute (ANSI) 700 National Green Building Standard, or compliance with minimum performance requirements of the International Green Construction Code.  The term “green building” is reserved for projects which take a holistic approach and do not focus on single measures, such as only energy performance.</w:t>
      </w:r>
    </w:p>
    <w:p w:rsidR="00D567AD" w:rsidRPr="00D567AD" w:rsidRDefault="00D567AD" w:rsidP="00D567AD">
      <w:r w:rsidRPr="00D567AD">
        <w:tab/>
        <w:t>c.</w:t>
      </w:r>
      <w:r w:rsidRPr="00D567AD">
        <w:tab/>
        <w:t xml:space="preserve">An application receiving priority pursuant to subsection a. of this section shall include a letter from a licensed architect or engineer describing how the project qualifies as a green building project pursuant to subsection b. of this section.  The letter shall include documentation demonstrating how the project qualifies as a green building project and </w:t>
      </w:r>
      <w:r w:rsidRPr="00D567AD">
        <w:rPr>
          <w:iCs/>
        </w:rPr>
        <w:t>a narrative outlining the sustainable attributes of the project in accordance with the rating systems and standards set forth in subsection b. of this section</w:t>
      </w:r>
      <w:r w:rsidRPr="00D567AD">
        <w:t>.</w:t>
      </w:r>
    </w:p>
    <w:p w:rsidR="00D567AD" w:rsidRPr="00D567AD" w:rsidRDefault="00D567AD" w:rsidP="00D567AD"/>
    <w:p w:rsidR="00D567AD" w:rsidRPr="00D567AD" w:rsidRDefault="00D567AD" w:rsidP="00D567AD">
      <w:pPr>
        <w:tabs>
          <w:tab w:val="clear" w:pos="1440"/>
          <w:tab w:val="clear" w:pos="2160"/>
        </w:tabs>
      </w:pPr>
      <w:r w:rsidRPr="00D567AD">
        <w:tab/>
        <w:t xml:space="preserve">4.  a.  The Department of Community Affairs </w:t>
      </w:r>
      <w:r w:rsidRPr="00D567AD">
        <w:rPr>
          <w:rFonts w:ascii="Albertus Extra Bold" w:hAnsi="Albertus Extra Bold"/>
          <w:b/>
          <w:vertAlign w:val="superscript"/>
        </w:rPr>
        <w:t>1</w:t>
      </w:r>
      <w:r w:rsidRPr="00D567AD">
        <w:rPr>
          <w:rFonts w:ascii="Albertus Extra Bold" w:hAnsi="Albertus Extra Bold"/>
          <w:b/>
        </w:rPr>
        <w:t>[</w:t>
      </w:r>
      <w:r w:rsidRPr="00D567AD">
        <w:t>shall</w:t>
      </w:r>
      <w:r w:rsidRPr="00D567AD">
        <w:rPr>
          <w:rFonts w:ascii="Albertus Extra Bold" w:hAnsi="Albertus Extra Bold"/>
          <w:b/>
        </w:rPr>
        <w:t>]</w:t>
      </w:r>
      <w:r w:rsidRPr="00D567AD">
        <w:t xml:space="preserve"> </w:t>
      </w:r>
      <w:r w:rsidRPr="00D567AD">
        <w:rPr>
          <w:u w:val="single"/>
        </w:rPr>
        <w:t>may adopt, pursuant to the provisions of the "Administrative Procedure Act," P.L.1968, c.410 (C.52:14B-1 et seq.), rules and regulations that</w:t>
      </w:r>
      <w:r w:rsidRPr="00D567AD">
        <w:rPr>
          <w:rFonts w:ascii="Albertus Extra Bold" w:hAnsi="Albertus Extra Bold"/>
          <w:b/>
          <w:vertAlign w:val="superscript"/>
        </w:rPr>
        <w:t>1</w:t>
      </w:r>
      <w:r w:rsidRPr="00D567AD">
        <w:t xml:space="preserve"> provide priority consideration </w:t>
      </w:r>
      <w:r w:rsidRPr="00D567AD">
        <w:rPr>
          <w:rFonts w:ascii="Albertus Extra Bold" w:hAnsi="Albertus Extra Bold"/>
          <w:b/>
          <w:vertAlign w:val="superscript"/>
        </w:rPr>
        <w:t>2</w:t>
      </w:r>
      <w:r w:rsidRPr="00D567AD">
        <w:rPr>
          <w:spacing w:val="0"/>
          <w:u w:val="single"/>
        </w:rPr>
        <w:t>, to the extent practicable as determined by the Commissioner of Community Affairs,</w:t>
      </w:r>
      <w:r w:rsidRPr="00D567AD">
        <w:rPr>
          <w:rFonts w:ascii="Albertus Extra Bold" w:hAnsi="Albertus Extra Bold"/>
          <w:b/>
          <w:vertAlign w:val="superscript"/>
        </w:rPr>
        <w:t>2</w:t>
      </w:r>
      <w:r w:rsidRPr="00D567AD">
        <w:t xml:space="preserve"> to any application for a permit, approval, or other authorization issued by the department associated with a green building project, provided the application includes a letter from a licensed architect or engineer pursuant to subsection c. of this section.</w:t>
      </w:r>
    </w:p>
    <w:p w:rsidR="00D567AD" w:rsidRPr="00D567AD" w:rsidRDefault="00D567AD" w:rsidP="00D567AD">
      <w:r w:rsidRPr="00D567AD">
        <w:tab/>
        <w:t>b.</w:t>
      </w:r>
      <w:r w:rsidRPr="00D567AD">
        <w:tab/>
        <w:t xml:space="preserve">A project </w:t>
      </w:r>
      <w:r w:rsidRPr="00D567AD">
        <w:rPr>
          <w:rFonts w:ascii="Albertus Extra Bold" w:hAnsi="Albertus Extra Bold"/>
          <w:b/>
          <w:vertAlign w:val="superscript"/>
        </w:rPr>
        <w:t>2</w:t>
      </w:r>
      <w:r w:rsidRPr="00D567AD">
        <w:rPr>
          <w:rFonts w:ascii="Albertus Extra Bold" w:hAnsi="Albertus Extra Bold"/>
          <w:b/>
        </w:rPr>
        <w:t>[</w:t>
      </w:r>
      <w:r w:rsidRPr="00D567AD">
        <w:t>shall</w:t>
      </w:r>
      <w:r w:rsidRPr="00D567AD">
        <w:rPr>
          <w:rFonts w:ascii="Albertus Extra Bold" w:hAnsi="Albertus Extra Bold"/>
          <w:b/>
        </w:rPr>
        <w:t>]</w:t>
      </w:r>
      <w:r w:rsidRPr="00D567AD">
        <w:rPr>
          <w:spacing w:val="0"/>
        </w:rPr>
        <w:t xml:space="preserve"> </w:t>
      </w:r>
      <w:r w:rsidRPr="00D567AD">
        <w:rPr>
          <w:spacing w:val="0"/>
          <w:u w:val="single"/>
        </w:rPr>
        <w:t>may</w:t>
      </w:r>
      <w:r w:rsidRPr="00D567AD">
        <w:rPr>
          <w:rFonts w:ascii="Albertus Extra Bold" w:hAnsi="Albertus Extra Bold"/>
          <w:b/>
          <w:vertAlign w:val="superscript"/>
        </w:rPr>
        <w:t>2</w:t>
      </w:r>
      <w:r w:rsidRPr="00D567AD">
        <w:t xml:space="preserve"> qualify as a “green building project” if the project </w:t>
      </w:r>
      <w:r w:rsidRPr="00D567AD">
        <w:rPr>
          <w:iCs/>
        </w:rPr>
        <w:t>has documented incorporation of site, water, energy, and resource efficiency measures and demonstrable practices to promote the health and well-being of the building occupants.  Documentation shall be submitted pursuant to subsection c. of this section demonstrating that the project has been registered for certification under the Leadership in Energy and Environmental Design (LEED) Green Building Rating System as adopted by the United States Green Building Council, or an alternative compliance path in accordance with the American Society of Heating, Refrigerating and Air-Conditioning Engineers (ASHRAE) Standard 189 minimum requirements, compliance with American National Standards Institute (ANSI) 700 National Green Building Standard, or compliance with minimum performance requirements of the International Green Construction Code.  The term “green building” is reserved for projects which take a holistic approach and do not focus on single measures, such as only energy performance.</w:t>
      </w:r>
    </w:p>
    <w:p w:rsidR="00B749C9" w:rsidRDefault="00D567AD" w:rsidP="00D567AD">
      <w:r w:rsidRPr="00D567AD">
        <w:tab/>
        <w:t>c.</w:t>
      </w:r>
      <w:r w:rsidRPr="00D567AD">
        <w:tab/>
        <w:t xml:space="preserve">An application receiving priority pursuant to subsection a. of this section shall include a letter from a licensed architect or </w:t>
      </w:r>
      <w:r w:rsidRPr="00D567AD">
        <w:lastRenderedPageBreak/>
        <w:t xml:space="preserve">engineer describing how the project qualifies as a green building project pursuant to subsection b. of this section.  The letter shall include documentation demonstrating how the project qualifies as a green building project and </w:t>
      </w:r>
      <w:r w:rsidRPr="00D567AD">
        <w:rPr>
          <w:iCs/>
        </w:rPr>
        <w:t>a narrative outlining the sustainable attributes of the project in accordance with the rating systems and standards set forth in subsection b. of this section</w:t>
      </w:r>
      <w:r w:rsidRPr="00D567AD">
        <w:t>.</w:t>
      </w:r>
    </w:p>
    <w:p w:rsidR="00D567AD" w:rsidRDefault="00D567AD" w:rsidP="00B749C9"/>
    <w:p w:rsidR="00B749C9" w:rsidRPr="00246114" w:rsidRDefault="00B749C9" w:rsidP="00B749C9">
      <w:r>
        <w:tab/>
      </w:r>
      <w:r w:rsidRPr="008E31F4">
        <w:t>5.</w:t>
      </w:r>
      <w:r>
        <w:tab/>
        <w:t>This act shall take effect immediately.</w:t>
      </w:r>
    </w:p>
    <w:sectPr w:rsidR="00B749C9" w:rsidRPr="00246114" w:rsidSect="00506AD7">
      <w:headerReference w:type="default" r:id="rId14"/>
      <w:footerReference w:type="default" r:id="rId15"/>
      <w:headerReference w:type="first" r:id="rId16"/>
      <w:footerReference w:type="first" r:id="rId17"/>
      <w:pgSz w:w="12240" w:h="20160" w:code="5"/>
      <w:pgMar w:top="1440" w:right="2520" w:bottom="1440" w:left="2880" w:header="1181" w:footer="70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1D92" w:rsidRDefault="00E31D92">
      <w:r>
        <w:separator/>
      </w:r>
    </w:p>
  </w:endnote>
  <w:endnote w:type="continuationSeparator" w:id="0">
    <w:p w:rsidR="00E31D92" w:rsidRDefault="00E31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1DD" w:rsidRDefault="00E711DD" w:rsidP="00E711DD">
    <w:pPr>
      <w:pStyle w:val="sponUdate"/>
    </w:pPr>
    <w:r>
      <w:t>(Sponsorship Updated As Of: 7/20/2020)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196" w:rsidRPr="00921C91" w:rsidRDefault="0060519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05196" w:rsidRPr="00921C91" w:rsidRDefault="00605196">
    <w:pPr>
      <w:pStyle w:val="Footer"/>
      <w:rPr>
        <w:szCs w:val="18"/>
      </w:rPr>
    </w:pPr>
  </w:p>
  <w:p w:rsidR="00605196" w:rsidRPr="00921C91" w:rsidRDefault="0060519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05196" w:rsidRDefault="00605196">
    <w:pPr>
      <w:pStyle w:val="Footer"/>
    </w:pPr>
    <w:r>
      <w:tab/>
      <w:t>Matter enclosed in superscript numerals has been adopted as follows:</w:t>
    </w:r>
  </w:p>
  <w:p w:rsidR="00605196" w:rsidRDefault="00605196">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July 20, 2020.</w:t>
    </w:r>
  </w:p>
  <w:p w:rsidR="00605196" w:rsidRDefault="00D567AD">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June 3,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1D92" w:rsidRDefault="00E31D92">
      <w:r>
        <w:separator/>
      </w:r>
    </w:p>
  </w:footnote>
  <w:footnote w:type="continuationSeparator" w:id="0">
    <w:p w:rsidR="00E31D92" w:rsidRDefault="00E31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016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01FC3" w:rsidRDefault="00A01FC3" w:rsidP="00A01FC3">
    <w:pPr>
      <w:pStyle w:val="bpuHeadSpon"/>
    </w:pPr>
    <w:r w:rsidRPr="00A01FC3">
      <w:rPr>
        <w:rStyle w:val="bpuHeadSponChar"/>
      </w:rPr>
      <w:t>A2152</w:t>
    </w:r>
    <w:r>
      <w:t xml:space="preserve"> </w:t>
    </w:r>
    <w:r w:rsidR="00D567AD">
      <w:t>[2R]</w:t>
    </w:r>
    <w:r w:rsidR="00605196">
      <w:t xml:space="preserve"> </w:t>
    </w:r>
    <w:r>
      <w:t>MUKHERJI, PINTOR MARIN</w:t>
    </w:r>
  </w:p>
  <w:p w:rsidR="00A01FC3" w:rsidRDefault="00A01FC3" w:rsidP="00A01FC3">
    <w:pPr>
      <w:pStyle w:val="bpuHeadSpon"/>
    </w:pPr>
    <w:r>
      <w:fldChar w:fldCharType="begin"/>
    </w:r>
    <w:r>
      <w:instrText xml:space="preserve"> PAGE  \* MERGEFORMAT </w:instrText>
    </w:r>
    <w:r>
      <w:fldChar w:fldCharType="separate"/>
    </w:r>
    <w:r w:rsidR="00D016DD">
      <w:rPr>
        <w:noProof/>
      </w:rPr>
      <w:t>3</w:t>
    </w:r>
    <w:r>
      <w:fldChar w:fldCharType="end"/>
    </w:r>
  </w:p>
  <w:p w:rsidR="00A01FC3" w:rsidRPr="00AF575C" w:rsidRDefault="00A01FC3" w:rsidP="00A01F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01FC3" w:rsidRDefault="00A01FC3" w:rsidP="00A01FC3">
    <w:pPr>
      <w:pStyle w:val="bpuHeadSpon"/>
    </w:pPr>
    <w:r w:rsidRPr="00A01FC3">
      <w:rPr>
        <w:rStyle w:val="bpuHeadSponChar"/>
      </w:rPr>
      <w:t>A2152</w:t>
    </w:r>
    <w:r>
      <w:t xml:space="preserve"> </w:t>
    </w:r>
    <w:r w:rsidR="00D567AD">
      <w:t>[2R]</w:t>
    </w:r>
    <w:r w:rsidR="00605196">
      <w:t xml:space="preserve"> </w:t>
    </w:r>
    <w:r>
      <w:t>MUKHERJI, PINTOR MARIN</w:t>
    </w:r>
  </w:p>
  <w:p w:rsidR="00A01FC3" w:rsidRDefault="00A01FC3" w:rsidP="00A01FC3">
    <w:pPr>
      <w:pStyle w:val="bpuHeadSpon"/>
    </w:pPr>
    <w:r>
      <w:fldChar w:fldCharType="begin"/>
    </w:r>
    <w:r>
      <w:instrText xml:space="preserve"> PAGE  \* MERGEFORMAT </w:instrText>
    </w:r>
    <w:r>
      <w:fldChar w:fldCharType="separate"/>
    </w:r>
    <w:r w:rsidR="00D016DD">
      <w:rPr>
        <w:noProof/>
      </w:rPr>
      <w:t>2</w:t>
    </w:r>
    <w:r>
      <w:fldChar w:fldCharType="end"/>
    </w:r>
  </w:p>
  <w:p w:rsidR="00A01FC3" w:rsidRDefault="00A01FC3" w:rsidP="00A01F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D92"/>
    <w:rsid w:val="00000169"/>
    <w:rsid w:val="00004D4D"/>
    <w:rsid w:val="00007B70"/>
    <w:rsid w:val="00007DDD"/>
    <w:rsid w:val="00010512"/>
    <w:rsid w:val="00011BAB"/>
    <w:rsid w:val="000154F3"/>
    <w:rsid w:val="000203E7"/>
    <w:rsid w:val="00020E5B"/>
    <w:rsid w:val="000219C8"/>
    <w:rsid w:val="00030BB1"/>
    <w:rsid w:val="00035598"/>
    <w:rsid w:val="00050240"/>
    <w:rsid w:val="00050BCA"/>
    <w:rsid w:val="000521CD"/>
    <w:rsid w:val="00057488"/>
    <w:rsid w:val="000654B5"/>
    <w:rsid w:val="0006579B"/>
    <w:rsid w:val="00065BBF"/>
    <w:rsid w:val="000778CE"/>
    <w:rsid w:val="00084BE0"/>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6D3"/>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7E6B"/>
    <w:rsid w:val="00296363"/>
    <w:rsid w:val="002A16E7"/>
    <w:rsid w:val="002A71FA"/>
    <w:rsid w:val="002B4DA4"/>
    <w:rsid w:val="002B67F7"/>
    <w:rsid w:val="002C58D4"/>
    <w:rsid w:val="002E1440"/>
    <w:rsid w:val="002E1912"/>
    <w:rsid w:val="002E2980"/>
    <w:rsid w:val="00304565"/>
    <w:rsid w:val="00307F11"/>
    <w:rsid w:val="0031075B"/>
    <w:rsid w:val="00317C73"/>
    <w:rsid w:val="003212E6"/>
    <w:rsid w:val="00333EF1"/>
    <w:rsid w:val="00346CF5"/>
    <w:rsid w:val="00352F8B"/>
    <w:rsid w:val="00354D07"/>
    <w:rsid w:val="0037458C"/>
    <w:rsid w:val="00381407"/>
    <w:rsid w:val="0038486B"/>
    <w:rsid w:val="00385634"/>
    <w:rsid w:val="003941E5"/>
    <w:rsid w:val="003A19B9"/>
    <w:rsid w:val="003A213D"/>
    <w:rsid w:val="003B7F50"/>
    <w:rsid w:val="003C32D1"/>
    <w:rsid w:val="003C6FBF"/>
    <w:rsid w:val="003D2B0D"/>
    <w:rsid w:val="003D6256"/>
    <w:rsid w:val="003E3338"/>
    <w:rsid w:val="003E41D6"/>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6AD7"/>
    <w:rsid w:val="0051355F"/>
    <w:rsid w:val="00515090"/>
    <w:rsid w:val="00520989"/>
    <w:rsid w:val="005311D7"/>
    <w:rsid w:val="00541E58"/>
    <w:rsid w:val="00546499"/>
    <w:rsid w:val="005475CF"/>
    <w:rsid w:val="005501DB"/>
    <w:rsid w:val="00550854"/>
    <w:rsid w:val="005508CF"/>
    <w:rsid w:val="00560F96"/>
    <w:rsid w:val="0056610D"/>
    <w:rsid w:val="00574518"/>
    <w:rsid w:val="00575FFD"/>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5196"/>
    <w:rsid w:val="00612255"/>
    <w:rsid w:val="00615CB7"/>
    <w:rsid w:val="006222E7"/>
    <w:rsid w:val="00624F54"/>
    <w:rsid w:val="00626BB3"/>
    <w:rsid w:val="0064213F"/>
    <w:rsid w:val="0064588E"/>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7113"/>
    <w:rsid w:val="007C1354"/>
    <w:rsid w:val="007C5E62"/>
    <w:rsid w:val="007D0F64"/>
    <w:rsid w:val="007F02BF"/>
    <w:rsid w:val="007F2A14"/>
    <w:rsid w:val="0080085C"/>
    <w:rsid w:val="00802AF0"/>
    <w:rsid w:val="008041FA"/>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2452"/>
    <w:rsid w:val="008E2CD1"/>
    <w:rsid w:val="008E3B9B"/>
    <w:rsid w:val="008E4F67"/>
    <w:rsid w:val="008E6096"/>
    <w:rsid w:val="008F6A7A"/>
    <w:rsid w:val="00902B2D"/>
    <w:rsid w:val="00915B98"/>
    <w:rsid w:val="00933C9C"/>
    <w:rsid w:val="0094377E"/>
    <w:rsid w:val="009467BF"/>
    <w:rsid w:val="0094723D"/>
    <w:rsid w:val="009564BC"/>
    <w:rsid w:val="0095650E"/>
    <w:rsid w:val="00966445"/>
    <w:rsid w:val="00967FED"/>
    <w:rsid w:val="00980A56"/>
    <w:rsid w:val="00983B72"/>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1FC3"/>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49C9"/>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3C96"/>
    <w:rsid w:val="00CF2757"/>
    <w:rsid w:val="00CF2761"/>
    <w:rsid w:val="00CF506C"/>
    <w:rsid w:val="00CF7045"/>
    <w:rsid w:val="00D016DD"/>
    <w:rsid w:val="00D0612B"/>
    <w:rsid w:val="00D06296"/>
    <w:rsid w:val="00D0784A"/>
    <w:rsid w:val="00D1283E"/>
    <w:rsid w:val="00D158BB"/>
    <w:rsid w:val="00D169D8"/>
    <w:rsid w:val="00D209A5"/>
    <w:rsid w:val="00D23780"/>
    <w:rsid w:val="00D31191"/>
    <w:rsid w:val="00D33F23"/>
    <w:rsid w:val="00D34C64"/>
    <w:rsid w:val="00D34D11"/>
    <w:rsid w:val="00D41401"/>
    <w:rsid w:val="00D567AD"/>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1D92"/>
    <w:rsid w:val="00E33D7F"/>
    <w:rsid w:val="00E34AD2"/>
    <w:rsid w:val="00E44D94"/>
    <w:rsid w:val="00E500AD"/>
    <w:rsid w:val="00E53E99"/>
    <w:rsid w:val="00E66E37"/>
    <w:rsid w:val="00E711DD"/>
    <w:rsid w:val="00E73613"/>
    <w:rsid w:val="00E73A9B"/>
    <w:rsid w:val="00E74087"/>
    <w:rsid w:val="00E7752C"/>
    <w:rsid w:val="00E81E7A"/>
    <w:rsid w:val="00E8330C"/>
    <w:rsid w:val="00E84646"/>
    <w:rsid w:val="00E875D8"/>
    <w:rsid w:val="00E87B2A"/>
    <w:rsid w:val="00E96136"/>
    <w:rsid w:val="00EB0958"/>
    <w:rsid w:val="00EB167F"/>
    <w:rsid w:val="00EB28D8"/>
    <w:rsid w:val="00EB6042"/>
    <w:rsid w:val="00EB71AE"/>
    <w:rsid w:val="00EC050B"/>
    <w:rsid w:val="00EE77BF"/>
    <w:rsid w:val="00EF5225"/>
    <w:rsid w:val="00F0415D"/>
    <w:rsid w:val="00F14E45"/>
    <w:rsid w:val="00F15E25"/>
    <w:rsid w:val="00F17CFC"/>
    <w:rsid w:val="00F42480"/>
    <w:rsid w:val="00F62572"/>
    <w:rsid w:val="00F6488F"/>
    <w:rsid w:val="00F70CF6"/>
    <w:rsid w:val="00F81EC6"/>
    <w:rsid w:val="00F85DDC"/>
    <w:rsid w:val="00F91244"/>
    <w:rsid w:val="00F95319"/>
    <w:rsid w:val="00FB2F6C"/>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CBD739B"/>
  <w15:docId w15:val="{46D43F13-DF76-4DE9-A85C-0A7B95A1E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01FC3"/>
  </w:style>
  <w:style w:type="paragraph" w:styleId="BalloonText">
    <w:name w:val="Balloon Text"/>
    <w:basedOn w:val="Normal"/>
    <w:link w:val="BalloonTextChar"/>
    <w:semiHidden/>
    <w:unhideWhenUsed/>
    <w:rsid w:val="0005024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024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753B8D-6C77-481C-96B3-9697607A1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1389</Words>
  <Characters>8188</Characters>
  <Application>Microsoft Office Word</Application>
  <DocSecurity>0</DocSecurity>
  <Lines>183</Lines>
  <Paragraphs>36</Paragraphs>
  <ScaleCrop>false</ScaleCrop>
  <HeadingPairs>
    <vt:vector size="2" baseType="variant">
      <vt:variant>
        <vt:lpstr>Title</vt:lpstr>
      </vt:variant>
      <vt:variant>
        <vt:i4>1</vt:i4>
      </vt:variant>
    </vt:vector>
  </HeadingPairs>
  <TitlesOfParts>
    <vt:vector size="1" baseType="lpstr">
      <vt:lpstr>A2152 1R</vt:lpstr>
    </vt:vector>
  </TitlesOfParts>
  <Manager>R229</Manager>
  <Company>OFFICE of LEGISLATIVE SERVICES</Company>
  <LinksUpToDate>false</LinksUpToDate>
  <CharactersWithSpaces>9582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A2152 2R</dc:title>
  <dc:creator>Assemblyman  MUKHERJI, Assemblywoman  PINTOR MARIN</dc:creator>
  <cp:keywords>A2152|5|EA |161|300|133|!||</cp:keywords>
  <dc:description>PREFILED 2020_x000d_
Amended 7/20/2020_x000d_
Amended 6/3/21</dc:description>
  <cp:lastModifiedBy>Bell, Careema</cp:lastModifiedBy>
  <cp:revision>2</cp:revision>
  <cp:lastPrinted>2020-07-21T13:10:00Z</cp:lastPrinted>
  <dcterms:created xsi:type="dcterms:W3CDTF">2021-06-04T15:38:00Z</dcterms:created>
  <dcterms:modified xsi:type="dcterms:W3CDTF">2021-06-04T15:38:00Z</dcterms:modified>
  <cp:category>s.1 to C.40:55D-61.1 s.2 to C.13:1D-150 s.3 to C.27:1E-3 s.4 to C.52:27D-10.7 w/note to C.52:27D-130.6 to 2020/35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