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4680" w:rsidRDefault="004C4680" w:rsidP="004C4680">
      <w:pPr>
        <w:pStyle w:val="bpuBill"/>
      </w:pPr>
      <w:bookmarkStart w:id="0" w:name="bpuFrontPg"/>
      <w:bookmarkStart w:id="1" w:name="_GoBack"/>
      <w:bookmarkEnd w:id="0"/>
      <w:bookmarkEnd w:id="1"/>
      <w:r>
        <w:t xml:space="preserve">ASSEMBLY, No. 2192 </w:t>
      </w:r>
    </w:p>
    <w:p w:rsidR="004C4680" w:rsidRPr="004C4680" w:rsidRDefault="004C4680" w:rsidP="004C468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71568" r:id="rId8"/>
        </w:object>
      </w:r>
    </w:p>
    <w:p w:rsidR="004C4680" w:rsidRDefault="004C4680" w:rsidP="004C4680">
      <w:pPr>
        <w:pStyle w:val="bpuState"/>
      </w:pPr>
      <w:r>
        <w:t>STATE OF NEW JERSEY</w:t>
      </w:r>
    </w:p>
    <w:p w:rsidR="004C4680" w:rsidRDefault="004C4680" w:rsidP="004C4680">
      <w:pPr>
        <w:pStyle w:val="bpuLegislature"/>
      </w:pPr>
      <w:r>
        <w:t>219th LEGISLATURE</w:t>
      </w:r>
    </w:p>
    <w:p w:rsidR="004C4680" w:rsidRDefault="004C4680" w:rsidP="004C4680">
      <w:pPr>
        <w:pStyle w:val="bpuWpGraphic"/>
      </w:pPr>
      <w:r>
        <w:object w:dxaOrig="8985" w:dyaOrig="255">
          <v:shape id="_x0000_i1026" type="#_x0000_t75" style="width:6in;height:12pt" o:ole="">
            <v:imagedata r:id="rId7" o:title=""/>
          </v:shape>
          <o:OLEObject Type="Embed" ProgID="WPWin6.1" ShapeID="_x0000_i1026" DrawAspect="Content" ObjectID="_1640271569" r:id="rId9"/>
        </w:object>
      </w:r>
      <w:r>
        <w:t xml:space="preserve">  </w:t>
      </w:r>
    </w:p>
    <w:p w:rsidR="004C4680" w:rsidRDefault="004C4680" w:rsidP="004C4680">
      <w:pPr>
        <w:pStyle w:val="bpuIntro"/>
      </w:pPr>
      <w:r>
        <w:t>PRE-FILED FOR INTRODUCTION IN THE 2020 SESSION</w:t>
      </w:r>
    </w:p>
    <w:p w:rsidR="004C4680" w:rsidRDefault="004C4680" w:rsidP="004C4680">
      <w:pPr>
        <w:pStyle w:val="bpuIntro"/>
      </w:pPr>
    </w:p>
    <w:p w:rsidR="004C4680" w:rsidRDefault="004C4680" w:rsidP="004C4680">
      <w:pPr>
        <w:pStyle w:val="bpuIntro"/>
        <w:sectPr w:rsidR="004C4680" w:rsidSect="004C4680">
          <w:headerReference w:type="even" r:id="rId10"/>
          <w:headerReference w:type="default" r:id="rId11"/>
          <w:pgSz w:w="12240" w:h="20160" w:code="5"/>
          <w:pgMar w:top="2160" w:right="1440" w:bottom="1440" w:left="1440" w:header="720" w:footer="720" w:gutter="0"/>
          <w:pgNumType w:start="1"/>
          <w:cols w:space="720"/>
          <w:docGrid w:linePitch="360"/>
        </w:sectPr>
      </w:pPr>
    </w:p>
    <w:p w:rsidR="004C4680" w:rsidRDefault="004C4680" w:rsidP="004C4680">
      <w:pPr>
        <w:pStyle w:val="bpuIntro"/>
      </w:pPr>
    </w:p>
    <w:p w:rsidR="004C4680" w:rsidRDefault="004C4680" w:rsidP="004C4680">
      <w:pPr>
        <w:pStyle w:val="bpuSponsor"/>
      </w:pPr>
      <w:r>
        <w:t>Sponsored by:</w:t>
      </w:r>
    </w:p>
    <w:p w:rsidR="004C4680" w:rsidRDefault="004C4680" w:rsidP="004C4680">
      <w:pPr>
        <w:pStyle w:val="bpuSponsor"/>
      </w:pPr>
      <w:r>
        <w:t>Assemblyman  JOHN F. MCKEON</w:t>
      </w:r>
    </w:p>
    <w:p w:rsidR="004C4680" w:rsidRDefault="004C4680" w:rsidP="004C4680">
      <w:pPr>
        <w:pStyle w:val="bpuSponsor"/>
      </w:pPr>
      <w:r>
        <w:t>District 27 (Essex and Morris)</w:t>
      </w:r>
    </w:p>
    <w:p w:rsidR="004C4680" w:rsidRDefault="004C4680" w:rsidP="004C4680">
      <w:pPr>
        <w:pStyle w:val="bpuSponsor"/>
      </w:pPr>
      <w:r>
        <w:t>Assemblywoman  ANNETTE QUIJANO</w:t>
      </w:r>
    </w:p>
    <w:p w:rsidR="004C4680" w:rsidRDefault="004C4680" w:rsidP="004C4680">
      <w:pPr>
        <w:pStyle w:val="bpuSponsor"/>
      </w:pPr>
      <w:r>
        <w:t>District 20 (Union)</w:t>
      </w:r>
    </w:p>
    <w:p w:rsidR="004C4680" w:rsidRDefault="004C4680" w:rsidP="004C4680">
      <w:pPr>
        <w:pStyle w:val="bpuSponsor"/>
      </w:pPr>
      <w:r>
        <w:t>Assemblyman  DANIEL R. BENSON</w:t>
      </w:r>
    </w:p>
    <w:p w:rsidR="004C4680" w:rsidRDefault="004C4680" w:rsidP="004C4680">
      <w:pPr>
        <w:pStyle w:val="bpuSponsor"/>
      </w:pPr>
      <w:r>
        <w:t>District 14 (Mercer and Middlesex)</w:t>
      </w:r>
    </w:p>
    <w:p w:rsidR="004C4680" w:rsidRDefault="004C4680" w:rsidP="004C4680">
      <w:pPr>
        <w:pStyle w:val="bpuSponsor"/>
      </w:pPr>
      <w:r>
        <w:t>Assemblyman  ERIC HOUGHTALING</w:t>
      </w:r>
    </w:p>
    <w:p w:rsidR="004C4680" w:rsidRDefault="004C4680" w:rsidP="004C4680">
      <w:pPr>
        <w:pStyle w:val="bpuSponsor"/>
      </w:pPr>
      <w:r>
        <w:t>District 11 (Monmouth)</w:t>
      </w:r>
    </w:p>
    <w:p w:rsidR="004C4680" w:rsidRDefault="004C4680" w:rsidP="004C4680">
      <w:pPr>
        <w:pStyle w:val="bpuSponsor"/>
      </w:pPr>
      <w:r>
        <w:t>Assemblywoman  JOANN DOWNEY</w:t>
      </w:r>
    </w:p>
    <w:p w:rsidR="004C4680" w:rsidRDefault="004C4680" w:rsidP="004C4680">
      <w:pPr>
        <w:pStyle w:val="bpuSponsor"/>
      </w:pPr>
      <w:r>
        <w:t>District 11 (Monmouth)</w:t>
      </w:r>
    </w:p>
    <w:p w:rsidR="004C4680" w:rsidRDefault="004C4680" w:rsidP="004C4680">
      <w:pPr>
        <w:pStyle w:val="bpuSponsor"/>
      </w:pPr>
      <w:r>
        <w:t>Assemblyman  ANDREW ZWICKER</w:t>
      </w:r>
    </w:p>
    <w:p w:rsidR="004C4680" w:rsidRDefault="004C4680" w:rsidP="004C4680">
      <w:pPr>
        <w:pStyle w:val="bpuSponsor"/>
      </w:pPr>
      <w:r>
        <w:t>District 16 (Hunterdon, Mercer, Middlesex and Somerset)</w:t>
      </w:r>
    </w:p>
    <w:p w:rsidR="004C4680" w:rsidRDefault="004C4680" w:rsidP="004C4680">
      <w:pPr>
        <w:pStyle w:val="bpuSponsor"/>
      </w:pPr>
    </w:p>
    <w:p w:rsidR="004C4680" w:rsidRDefault="004C4680" w:rsidP="004C4680">
      <w:pPr>
        <w:pStyle w:val="bpuSponsor"/>
      </w:pPr>
      <w:r>
        <w:t>Co-Sponsored by:</w:t>
      </w:r>
    </w:p>
    <w:p w:rsidR="004C4680" w:rsidRDefault="004C4680" w:rsidP="004C4680">
      <w:pPr>
        <w:pStyle w:val="bpuSponsor"/>
      </w:pPr>
      <w:r w:rsidRPr="004C4680">
        <w:t>Assemblywoman Murphy and Assemblyman Webber</w:t>
      </w:r>
    </w:p>
    <w:p w:rsidR="004C4680" w:rsidRDefault="004C4680" w:rsidP="004C4680"/>
    <w:p w:rsidR="004C4680" w:rsidRPr="004C4680" w:rsidRDefault="004C4680" w:rsidP="004C4680"/>
    <w:p w:rsidR="004C4680" w:rsidRDefault="004C4680" w:rsidP="004C4680">
      <w:pPr>
        <w:pStyle w:val="bpuSponsor"/>
      </w:pPr>
    </w:p>
    <w:p w:rsidR="004C4680" w:rsidRDefault="004C4680" w:rsidP="004C4680">
      <w:pPr>
        <w:pStyle w:val="bpuSponsor"/>
      </w:pPr>
    </w:p>
    <w:p w:rsidR="004C4680" w:rsidRDefault="004C4680" w:rsidP="004C4680">
      <w:pPr>
        <w:pStyle w:val="bpuSponsor"/>
      </w:pPr>
      <w:r>
        <w:t>SYNOPSIS</w:t>
      </w:r>
    </w:p>
    <w:p w:rsidR="004C4680" w:rsidRDefault="004C4680" w:rsidP="004C4680">
      <w:pPr>
        <w:pStyle w:val="bpuNormText"/>
      </w:pPr>
      <w:r>
        <w:tab/>
        <w:t xml:space="preserve">Bars public entities and public employees from entering into confidential settlements of “whistleblower” claims; provides that such settlements constitute public records. </w:t>
      </w:r>
    </w:p>
    <w:p w:rsidR="004C4680" w:rsidRDefault="004C4680" w:rsidP="004C4680">
      <w:pPr>
        <w:pStyle w:val="bpuNormText"/>
      </w:pPr>
    </w:p>
    <w:p w:rsidR="004C4680" w:rsidRDefault="004C4680" w:rsidP="004C4680">
      <w:pPr>
        <w:pStyle w:val="bpuSponsor"/>
      </w:pPr>
      <w:r>
        <w:t xml:space="preserve">CURRENT VERSION OF TEXT </w:t>
      </w:r>
    </w:p>
    <w:p w:rsidR="004C4680" w:rsidRDefault="004C4680" w:rsidP="004C4680">
      <w:pPr>
        <w:pStyle w:val="bpuNormText"/>
      </w:pPr>
      <w:r>
        <w:tab/>
        <w:t>Introduced Pending Technical Review by Legislative Counsel.</w:t>
      </w:r>
    </w:p>
    <w:p w:rsidR="004C4680" w:rsidRDefault="004C4680" w:rsidP="004C468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C4680" w:rsidRDefault="004C468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C4680" w:rsidSect="004C4680">
          <w:type w:val="continuous"/>
          <w:pgSz w:w="12240" w:h="20160" w:code="5"/>
          <w:pgMar w:top="2160" w:right="2275" w:bottom="1440" w:left="2275" w:header="72" w:footer="720" w:gutter="0"/>
          <w:pgNumType w:start="1"/>
          <w:cols w:space="720"/>
          <w:docGrid w:linePitch="360"/>
        </w:sectPr>
      </w:pPr>
    </w:p>
    <w:p w:rsidR="002E39C7" w:rsidRPr="00677316" w:rsidRDefault="002E39C7" w:rsidP="002E39C7">
      <w:pPr>
        <w:pStyle w:val="HangingAnAct"/>
        <w:rPr>
          <w:rStyle w:val="HangingAnActChar"/>
        </w:rPr>
      </w:pPr>
      <w:r w:rsidRPr="002E39C7">
        <w:rPr>
          <w:rStyle w:val="BillHead"/>
        </w:rPr>
        <w:lastRenderedPageBreak/>
        <w:t>An Act</w:t>
      </w:r>
      <w:r w:rsidRPr="006B7FA7">
        <w:rPr>
          <w:rStyle w:val="HangingAnActChar"/>
        </w:rPr>
        <w:t xml:space="preserve"> </w:t>
      </w:r>
      <w:r w:rsidRPr="00906E1F">
        <w:t xml:space="preserve">concerning certain settlements and supplementing </w:t>
      </w:r>
      <w:r>
        <w:t xml:space="preserve">chapter 19 of Title 34 of the </w:t>
      </w:r>
      <w:r w:rsidRPr="00906E1F">
        <w:t>Revised Statutes.</w:t>
      </w:r>
    </w:p>
    <w:p w:rsidR="002E39C7" w:rsidRPr="00D71D68" w:rsidRDefault="002E39C7" w:rsidP="002E39C7"/>
    <w:p w:rsidR="002E39C7" w:rsidRPr="00AA7880" w:rsidRDefault="002E39C7" w:rsidP="002E39C7">
      <w:r>
        <w:tab/>
      </w:r>
      <w:r>
        <w:rPr>
          <w:rStyle w:val="BillHeading2"/>
        </w:rPr>
        <w:t xml:space="preserve">Be It Enacted </w:t>
      </w:r>
      <w:r>
        <w:rPr>
          <w:rStyle w:val="BillLanguage"/>
        </w:rPr>
        <w:t>by the Senate and General Assembly of the State of New Jersey:</w:t>
      </w:r>
    </w:p>
    <w:p w:rsidR="002E39C7" w:rsidRDefault="002E39C7" w:rsidP="002E39C7"/>
    <w:p w:rsidR="002E39C7" w:rsidRPr="007354F0" w:rsidRDefault="002E39C7" w:rsidP="002E39C7">
      <w:r w:rsidRPr="007354F0">
        <w:tab/>
        <w:t>1.</w:t>
      </w:r>
      <w:r w:rsidRPr="007354F0">
        <w:tab/>
        <w:t>a.  As used in this act:</w:t>
      </w:r>
    </w:p>
    <w:p w:rsidR="002E39C7" w:rsidRPr="007354F0" w:rsidRDefault="002E39C7" w:rsidP="002E39C7">
      <w:r w:rsidRPr="007354F0">
        <w:tab/>
        <w:t>“Public entity” means the State, and any county, municipality, district, public authority, public agency, and any other political subdivision or public body in the State.</w:t>
      </w:r>
    </w:p>
    <w:p w:rsidR="002E39C7" w:rsidRPr="007354F0" w:rsidRDefault="002E39C7" w:rsidP="002E39C7">
      <w:r w:rsidRPr="007354F0">
        <w:tab/>
        <w:t>“Public employee” means an employee of a public entity.</w:t>
      </w:r>
    </w:p>
    <w:p w:rsidR="002E39C7" w:rsidRPr="00DB1126" w:rsidRDefault="002E39C7" w:rsidP="002E39C7">
      <w:pPr>
        <w:rPr>
          <w:u w:val="single"/>
        </w:rPr>
      </w:pPr>
      <w:r w:rsidRPr="007354F0">
        <w:tab/>
        <w:t>b.</w:t>
      </w:r>
      <w:r w:rsidRPr="007354F0">
        <w:tab/>
        <w:t>(1) Except as provided in paragraph (2) of this subsection, no public entity or public employee may enter into any agreement</w:t>
      </w:r>
      <w:r>
        <w:t xml:space="preserve"> </w:t>
      </w:r>
      <w:r w:rsidRPr="007354F0">
        <w:t>to settle a claim or action to which the public entity, or a public employee in his capacity as a public employee, is a party where the public employee asserts the protections of the “Conscientious Employee Protection Act,” P.L.1986, c.105 (C.34:19-1 et seq.)</w:t>
      </w:r>
      <w:r>
        <w:t xml:space="preserve">, </w:t>
      </w:r>
      <w:r w:rsidRPr="007354F0">
        <w:t>if</w:t>
      </w:r>
    </w:p>
    <w:p w:rsidR="002E39C7" w:rsidRDefault="002E39C7" w:rsidP="002E39C7">
      <w:pPr>
        <w:rPr>
          <w:u w:val="single"/>
        </w:rPr>
      </w:pPr>
      <w:r w:rsidRPr="00DB1126">
        <w:tab/>
      </w:r>
      <w:r w:rsidRPr="00B26E9F">
        <w:t>(a)</w:t>
      </w:r>
      <w:r>
        <w:t xml:space="preserve"> </w:t>
      </w:r>
      <w:r w:rsidRPr="007354F0">
        <w:t>such agreement provides that the terms or conditions of the settlement are confidential</w:t>
      </w:r>
      <w:r w:rsidRPr="00B26E9F">
        <w:t>; or</w:t>
      </w:r>
    </w:p>
    <w:p w:rsidR="002E39C7" w:rsidRPr="00B26E9F" w:rsidRDefault="002E39C7" w:rsidP="002E39C7">
      <w:r w:rsidRPr="00DB1126">
        <w:tab/>
      </w:r>
      <w:r w:rsidRPr="00B26E9F">
        <w:t>(b) the purpose or effect of such agreement is to conceal information relating to any claim or action concerning the public interest.</w:t>
      </w:r>
    </w:p>
    <w:p w:rsidR="002E39C7" w:rsidRPr="00E2309A" w:rsidRDefault="002E39C7" w:rsidP="002E39C7">
      <w:r w:rsidRPr="007354F0">
        <w:tab/>
        <w:t>(2)</w:t>
      </w:r>
      <w:r>
        <w:t xml:space="preserve"> </w:t>
      </w:r>
      <w:r w:rsidRPr="007354F0">
        <w:t>A public entity or public employee may enter into an agreement that provides that the terms or conditions of settlement of such a claim or action are confidential if the settlement involves a matter of national security.</w:t>
      </w:r>
    </w:p>
    <w:p w:rsidR="002E39C7" w:rsidRPr="00E2309A" w:rsidRDefault="002E39C7" w:rsidP="002E39C7"/>
    <w:p w:rsidR="002E39C7" w:rsidRPr="00E2309A" w:rsidRDefault="002E39C7" w:rsidP="002E39C7">
      <w:r w:rsidRPr="00D7405C">
        <w:tab/>
        <w:t>2.</w:t>
      </w:r>
      <w:r w:rsidRPr="00D7405C">
        <w:tab/>
        <w:t>Any</w:t>
      </w:r>
      <w:r>
        <w:t xml:space="preserve"> </w:t>
      </w:r>
      <w:r w:rsidRPr="00D7405C">
        <w:t>agreement</w:t>
      </w:r>
      <w:r>
        <w:t xml:space="preserve"> </w:t>
      </w:r>
      <w:r w:rsidRPr="00D7405C">
        <w:t>to settle a claim or action in which a public entity, or a public employee in his capacity as a public employee, is a party and where the public employee asserts the protections of the “Conscientious Employee Protection Act,” P.L.1986, c.105 (C.34:19-1 et seq.)</w:t>
      </w:r>
      <w:r w:rsidRPr="00B26E9F">
        <w:t>, as set forth in paragraph (1) of subsection b. of</w:t>
      </w:r>
      <w:r w:rsidRPr="00767A8A">
        <w:rPr>
          <w:u w:val="single"/>
        </w:rPr>
        <w:t xml:space="preserve"> </w:t>
      </w:r>
      <w:r w:rsidRPr="00B26E9F">
        <w:t>section 1 of P.L.    , c.    (C.          )(pending before the Legislature</w:t>
      </w:r>
      <w:r w:rsidRPr="00767A8A">
        <w:rPr>
          <w:u w:val="single"/>
        </w:rPr>
        <w:t xml:space="preserve"> </w:t>
      </w:r>
      <w:r w:rsidRPr="00B26E9F">
        <w:t>as this bill),</w:t>
      </w:r>
      <w:r w:rsidRPr="00767A8A">
        <w:t xml:space="preserve"> </w:t>
      </w:r>
      <w:r w:rsidRPr="00D7405C">
        <w:t>shall be considered a public record within the meaning of P.L.1963, c.73 (C.47:1A-1 et seq.) and P.L.2001, c.404 (C.47:1A-5 et al.)</w:t>
      </w:r>
      <w:r>
        <w:t xml:space="preserve"> </w:t>
      </w:r>
      <w:r w:rsidRPr="00D7405C">
        <w:t>except for matters involving national security.</w:t>
      </w:r>
    </w:p>
    <w:p w:rsidR="002E39C7" w:rsidRPr="00E2309A" w:rsidRDefault="002E39C7" w:rsidP="002E39C7"/>
    <w:p w:rsidR="002E39C7" w:rsidRDefault="002E39C7" w:rsidP="002E39C7">
      <w:r w:rsidRPr="00E2309A">
        <w:tab/>
        <w:t>3.</w:t>
      </w:r>
      <w:r w:rsidRPr="00E2309A">
        <w:tab/>
        <w:t>Nothing in this act shall be deemed to affect the requirement set out in P.L.1989, c.336 (C.2A:82-46), or in any other law or Rule of Court, that in prosecutions for aggravated sexual assault, sexual assault, aggravated criminal sexual contact, criminal sexual contact, endangering the welfare of children under N.J.S.2C:24-4, or in any action alleging an abused or neglected child under P.L.1974, c.119 (C.9:6-8.21 et seq.), the name, address, and identity of a victim who was under the age of 18 at the time of the alleged commission of an offense shall not appear on the indictment, complaint, or any other public record.</w:t>
      </w:r>
    </w:p>
    <w:p w:rsidR="002E39C7" w:rsidRDefault="002E39C7" w:rsidP="002E39C7">
      <w:r w:rsidRPr="00E2309A">
        <w:tab/>
        <w:t>4.</w:t>
      </w:r>
      <w:r w:rsidRPr="00E2309A">
        <w:tab/>
        <w:t>Nothing in this act shall be deemed to preclude or otherwise limit the provisions of P.L.1963, c.73 (C.47:1A-1 et seq.) and P.L.2001, c.404 (C.47:1A-5 et al.).</w:t>
      </w:r>
    </w:p>
    <w:p w:rsidR="002E39C7" w:rsidRDefault="002E39C7" w:rsidP="002E39C7"/>
    <w:p w:rsidR="002E39C7" w:rsidRPr="00B26E9F" w:rsidRDefault="002E39C7" w:rsidP="002E39C7">
      <w:r>
        <w:rPr>
          <w:rFonts w:ascii="Albertus Extra Bold" w:hAnsi="Albertus Extra Bold"/>
          <w:b/>
          <w:vertAlign w:val="superscript"/>
        </w:rPr>
        <w:tab/>
      </w:r>
      <w:r w:rsidRPr="00B26E9F">
        <w:t>5.</w:t>
      </w:r>
      <w:r w:rsidRPr="00B26E9F">
        <w:tab/>
        <w:t xml:space="preserve">The Attorney General shall make publicly available on its website a list of any agreements set forth in paragraph (1) of subsection b. of section 1 of P.L.    , c.    (C.          ) (pending before the Legislature as this bill) to settle a claim or action in which a public entity, or a public employee in his capacity as a public employee, is a party.  The list of the agreements shall be in a searchable format in a prominent location on the website and shall include for each settlement agreement: </w:t>
      </w:r>
    </w:p>
    <w:p w:rsidR="002E39C7" w:rsidRPr="00B26E9F" w:rsidRDefault="002E39C7" w:rsidP="002E39C7">
      <w:r w:rsidRPr="00B26E9F">
        <w:tab/>
        <w:t>a.</w:t>
      </w:r>
      <w:r w:rsidRPr="00B26E9F">
        <w:tab/>
        <w:t>the date on which the parties entered into the settlement agreement;</w:t>
      </w:r>
    </w:p>
    <w:p w:rsidR="002E39C7" w:rsidRPr="00B26E9F" w:rsidRDefault="002E39C7" w:rsidP="002E39C7">
      <w:r w:rsidRPr="00B26E9F">
        <w:tab/>
        <w:t>b.</w:t>
      </w:r>
      <w:r w:rsidRPr="00B26E9F">
        <w:tab/>
        <w:t>the names of the parties;</w:t>
      </w:r>
    </w:p>
    <w:p w:rsidR="002E39C7" w:rsidRPr="00B26E9F" w:rsidRDefault="002E39C7" w:rsidP="002E39C7">
      <w:r w:rsidRPr="00B26E9F">
        <w:tab/>
        <w:t>c.</w:t>
      </w:r>
      <w:r w:rsidRPr="00B26E9F">
        <w:tab/>
        <w:t xml:space="preserve">a description of the claims; </w:t>
      </w:r>
    </w:p>
    <w:p w:rsidR="002E39C7" w:rsidRPr="00B26E9F" w:rsidRDefault="002E39C7" w:rsidP="002E39C7">
      <w:r w:rsidRPr="00B26E9F">
        <w:tab/>
        <w:t>d.</w:t>
      </w:r>
      <w:r w:rsidRPr="00B26E9F">
        <w:tab/>
        <w:t>the total amount each party is obligated to pay; and</w:t>
      </w:r>
    </w:p>
    <w:p w:rsidR="002E39C7" w:rsidRPr="00B26E9F" w:rsidRDefault="002E39C7" w:rsidP="002E39C7">
      <w:r w:rsidRPr="00B26E9F">
        <w:tab/>
        <w:t>e.</w:t>
      </w:r>
      <w:r w:rsidRPr="00B26E9F">
        <w:tab/>
        <w:t>the total amount of compensation for any outside legal counsel.</w:t>
      </w:r>
    </w:p>
    <w:p w:rsidR="002E39C7" w:rsidRDefault="002E39C7" w:rsidP="002E39C7"/>
    <w:p w:rsidR="002E39C7" w:rsidRPr="00B26E9F" w:rsidRDefault="002E39C7" w:rsidP="002E39C7">
      <w:r w:rsidRPr="00B26E9F">
        <w:tab/>
        <w:t>6.</w:t>
      </w:r>
      <w:r w:rsidRPr="00B26E9F">
        <w:tab/>
        <w:t>Notwithstanding the provisions of any other law to the contrary, any agreement to settle a claim or action where a public entity is a party shall be considered a public record within the meaning of P.L.1963, c.73 (C.47:1A-1 et seq.) and P.L.2001, c.404 (C.47:1A-5 et al.), except for matters involving national security.</w:t>
      </w:r>
    </w:p>
    <w:p w:rsidR="002E39C7" w:rsidRPr="00B26E9F" w:rsidRDefault="002E39C7" w:rsidP="002E39C7"/>
    <w:p w:rsidR="002E39C7" w:rsidRDefault="002E39C7" w:rsidP="002E39C7">
      <w:r w:rsidRPr="00E2309A">
        <w:tab/>
      </w:r>
      <w:r w:rsidRPr="00B26E9F">
        <w:t>7.</w:t>
      </w:r>
      <w:r w:rsidRPr="00E2309A">
        <w:tab/>
        <w:t>This act shall take effect on the 90th day following enactment.</w:t>
      </w:r>
    </w:p>
    <w:p w:rsidR="00724E03" w:rsidRDefault="00724E03" w:rsidP="002E39C7"/>
    <w:p w:rsidR="002E39C7" w:rsidRDefault="002E39C7" w:rsidP="002E39C7"/>
    <w:p w:rsidR="00E7752C" w:rsidRDefault="00724E03" w:rsidP="00724E03">
      <w:pPr>
        <w:jc w:val="center"/>
      </w:pPr>
      <w:r>
        <w:t>STATEMENT</w:t>
      </w:r>
    </w:p>
    <w:p w:rsidR="00724E03" w:rsidRDefault="00724E03" w:rsidP="00724E03">
      <w:pPr>
        <w:jc w:val="center"/>
      </w:pPr>
    </w:p>
    <w:p w:rsidR="006E2878" w:rsidRPr="006E2878" w:rsidRDefault="006E2878" w:rsidP="006E2878">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6E2878">
        <w:rPr>
          <w:spacing w:val="0"/>
          <w:szCs w:val="20"/>
        </w:rPr>
        <w:tab/>
        <w:t>This bill would bar public entities and public employees from entering into any agreement to settle claims or actions where the public employee asserts the protections of the “Conscientious Employee Protection Act,” P.L.1986, c.105 (C.34:19-1 et seq., informally referred to as the “Whistleblower Act”), if: (1) the agreement provides for the terms and conditions to be confidential; or (2) the purpose or the effect of such agreement is to conceal information relating to any claim or action concerning the public interest.  The bill provides for an exception for agreements involving matters of national security. Under the bill, such settlement agreements constitute public records under the open public records laws, P.L.1963, c.73 (C.47:1A-1 et seq.) and P.L.2001, c.404 (C.47:1A-5 et al.).</w:t>
      </w:r>
    </w:p>
    <w:p w:rsidR="006E2878" w:rsidRPr="006E2878" w:rsidRDefault="006E2878" w:rsidP="006E2878">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6E2878">
        <w:rPr>
          <w:spacing w:val="0"/>
          <w:szCs w:val="20"/>
        </w:rPr>
        <w:tab/>
        <w:t>Under current law, set out in P.L.1989, c.336 (C.2A:82-46), the name, address, and identity of a victim of a sex crime or child abuse who was under the age of 18 at the time of the offense shall not appear on the indictment, complaint, or any other public record.  The bill specifically provides that the provisions of the bill are not intended to affect this requirement.</w:t>
      </w:r>
    </w:p>
    <w:p w:rsidR="006E2878" w:rsidRPr="006E2878" w:rsidRDefault="006E2878" w:rsidP="006E2878">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6E2878">
        <w:rPr>
          <w:spacing w:val="0"/>
          <w:szCs w:val="20"/>
        </w:rPr>
        <w:tab/>
        <w:t>The bill would also require the Attorney General to make such agreements publicly available online.  The bill would require that a list of the settlement agreements be in a searchable format in a prominent location on the department’s website.  The information would include: (1) the date the parties entered into the agreement; (2) the names of the parties; (3) a description of the claims; (4) the total amount each party is obligated to pay; and (5) the total amount of compensation for any outside legal counsel.</w:t>
      </w:r>
    </w:p>
    <w:p w:rsidR="002E39C7" w:rsidRPr="00E7752C" w:rsidRDefault="006E2878" w:rsidP="004B58AB">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6E2878">
        <w:rPr>
          <w:spacing w:val="0"/>
          <w:szCs w:val="20"/>
        </w:rPr>
        <w:tab/>
        <w:t>In addition, the bill provides that any other agreement to settle a claim or action where a public entity is a party would be considered a public record within the meaning of P.L.1963, c.73 (C.47:1A-1 et seq.) and P.L.2001, c.404 (C.47:1A-5 et al.), except for matters involving national security.</w:t>
      </w:r>
    </w:p>
    <w:sectPr w:rsidR="002E39C7" w:rsidRPr="00E7752C" w:rsidSect="004C4680">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6E97" w:rsidRDefault="00DB6E97">
      <w:r>
        <w:separator/>
      </w:r>
    </w:p>
  </w:endnote>
  <w:endnote w:type="continuationSeparator" w:id="0">
    <w:p w:rsidR="00DB6E97" w:rsidRDefault="00DB6E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6E97" w:rsidRDefault="00DB6E97">
      <w:r>
        <w:separator/>
      </w:r>
    </w:p>
  </w:footnote>
  <w:footnote w:type="continuationSeparator" w:id="0">
    <w:p w:rsidR="00DB6E97" w:rsidRDefault="00DB6E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747D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C4680" w:rsidRDefault="004C4680" w:rsidP="004C4680">
    <w:pPr>
      <w:pStyle w:val="bpuHeadSpon"/>
    </w:pPr>
    <w:r w:rsidRPr="004C4680">
      <w:rPr>
        <w:rStyle w:val="bpuHeadSponChar"/>
      </w:rPr>
      <w:t>A2192</w:t>
    </w:r>
    <w:r>
      <w:t xml:space="preserve"> MCKEON, QUIJANO</w:t>
    </w:r>
  </w:p>
  <w:p w:rsidR="004C4680" w:rsidRDefault="004C4680" w:rsidP="004C4680">
    <w:pPr>
      <w:pStyle w:val="bpuHeadSpon"/>
    </w:pPr>
    <w:r>
      <w:fldChar w:fldCharType="begin"/>
    </w:r>
    <w:r>
      <w:instrText xml:space="preserve"> PAGE  \* MERGEFORMAT </w:instrText>
    </w:r>
    <w:r>
      <w:fldChar w:fldCharType="separate"/>
    </w:r>
    <w:r w:rsidR="00D747D9">
      <w:rPr>
        <w:noProof/>
      </w:rPr>
      <w:t>4</w:t>
    </w:r>
    <w:r>
      <w:fldChar w:fldCharType="end"/>
    </w:r>
  </w:p>
  <w:p w:rsidR="004C4680" w:rsidRPr="00AF575C" w:rsidRDefault="004C4680" w:rsidP="004C468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C4680" w:rsidRDefault="004C4680" w:rsidP="004C4680">
    <w:pPr>
      <w:pStyle w:val="bpuHeadSpon"/>
    </w:pPr>
    <w:r w:rsidRPr="004C4680">
      <w:rPr>
        <w:rStyle w:val="bpuHeadSponChar"/>
      </w:rPr>
      <w:t>A2192</w:t>
    </w:r>
    <w:r>
      <w:t xml:space="preserve"> MCKEON, QUIJANO</w:t>
    </w:r>
  </w:p>
  <w:p w:rsidR="004C4680" w:rsidRDefault="004C4680" w:rsidP="004C4680">
    <w:pPr>
      <w:pStyle w:val="bpuHeadSpon"/>
    </w:pPr>
    <w:r>
      <w:fldChar w:fldCharType="begin"/>
    </w:r>
    <w:r>
      <w:instrText xml:space="preserve"> PAGE  \* MERGEFORMAT </w:instrText>
    </w:r>
    <w:r>
      <w:fldChar w:fldCharType="separate"/>
    </w:r>
    <w:r w:rsidR="00D747D9">
      <w:rPr>
        <w:noProof/>
      </w:rPr>
      <w:t>2</w:t>
    </w:r>
    <w:r>
      <w:fldChar w:fldCharType="end"/>
    </w:r>
  </w:p>
  <w:p w:rsidR="004C4680" w:rsidRDefault="004C4680" w:rsidP="004C468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6E9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2464A"/>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E39C7"/>
    <w:rsid w:val="00304565"/>
    <w:rsid w:val="00307F11"/>
    <w:rsid w:val="0031075B"/>
    <w:rsid w:val="00314007"/>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1790C"/>
    <w:rsid w:val="0044404C"/>
    <w:rsid w:val="00460875"/>
    <w:rsid w:val="00470114"/>
    <w:rsid w:val="00470ABF"/>
    <w:rsid w:val="0048038F"/>
    <w:rsid w:val="00484B8A"/>
    <w:rsid w:val="004A5222"/>
    <w:rsid w:val="004B0CE3"/>
    <w:rsid w:val="004B58AB"/>
    <w:rsid w:val="004B5C78"/>
    <w:rsid w:val="004B667A"/>
    <w:rsid w:val="004B6E61"/>
    <w:rsid w:val="004B75D5"/>
    <w:rsid w:val="004C0EE5"/>
    <w:rsid w:val="004C1B1C"/>
    <w:rsid w:val="004C2B44"/>
    <w:rsid w:val="004C4680"/>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2878"/>
    <w:rsid w:val="006E36B4"/>
    <w:rsid w:val="006F4C44"/>
    <w:rsid w:val="006F652B"/>
    <w:rsid w:val="0070018A"/>
    <w:rsid w:val="00712CBE"/>
    <w:rsid w:val="00724E03"/>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47D9"/>
    <w:rsid w:val="00D776DB"/>
    <w:rsid w:val="00D77ACD"/>
    <w:rsid w:val="00D77E55"/>
    <w:rsid w:val="00D81BE1"/>
    <w:rsid w:val="00D82FE6"/>
    <w:rsid w:val="00D83515"/>
    <w:rsid w:val="00D84AE0"/>
    <w:rsid w:val="00D86B15"/>
    <w:rsid w:val="00D9742E"/>
    <w:rsid w:val="00D97D3E"/>
    <w:rsid w:val="00DA6AA9"/>
    <w:rsid w:val="00DB5B8E"/>
    <w:rsid w:val="00DB6E97"/>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FFD0055-2496-4E47-B99F-EF4F6FDE7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C46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3DB91B-EB20-45ED-A35D-09483BE3D2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1068</Words>
  <Characters>5515</Characters>
  <Application>Microsoft Office Word</Application>
  <DocSecurity>0</DocSecurity>
  <Lines>148</Lines>
  <Paragraphs>48</Paragraphs>
  <ScaleCrop>false</ScaleCrop>
  <HeadingPairs>
    <vt:vector size="2" baseType="variant">
      <vt:variant>
        <vt:lpstr>Title</vt:lpstr>
      </vt:variant>
      <vt:variant>
        <vt:i4>1</vt:i4>
      </vt:variant>
    </vt:vector>
  </HeadingPairs>
  <TitlesOfParts>
    <vt:vector size="1" baseType="lpstr">
      <vt:lpstr>A2192</vt:lpstr>
    </vt:vector>
  </TitlesOfParts>
  <Manager>R56</Manager>
  <Company>OFFICE of LEGISLATIVE SERVICES</Company>
  <LinksUpToDate>false</LinksUpToDate>
  <CharactersWithSpaces>6610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A2192</dc:title>
  <dc:creator>Assemblyman  MCKEON, Assemblywoman  QUIJANO</dc:creator>
  <cp:keywords>A2192|4|JU |284|0|0|!|0|</cp:keywords>
  <dc:description>PREFILED 2020</dc:description>
  <cp:lastModifiedBy>Todaro, Vivian</cp:lastModifiedBy>
  <cp:revision>2</cp:revision>
  <cp:lastPrinted>2020-01-11T20:44:00Z</cp:lastPrinted>
  <dcterms:created xsi:type="dcterms:W3CDTF">2020-01-11T22:58:00Z</dcterms:created>
  <dcterms:modified xsi:type="dcterms:W3CDTF">2020-01-11T22:58:00Z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