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7D3" w:rsidRDefault="00A217D3" w:rsidP="00A217D3">
      <w:pPr>
        <w:pStyle w:val="bpuBill"/>
      </w:pPr>
      <w:bookmarkStart w:id="0" w:name="bpuFrontPg"/>
      <w:bookmarkEnd w:id="0"/>
      <w:r>
        <w:t xml:space="preserve">ASSEMBLY, No. 2219 </w:t>
      </w:r>
    </w:p>
    <w:p w:rsidR="00A217D3" w:rsidRPr="00A217D3" w:rsidRDefault="00A217D3" w:rsidP="00A217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0.95pt" o:ole="">
            <v:imagedata r:id="rId7" o:title=""/>
          </v:shape>
          <o:OLEObject Type="Embed" ProgID="WPWin6.1" ShapeID="_x0000_i1025" DrawAspect="Content" ObjectID="_1676105280" r:id="rId8"/>
        </w:object>
      </w:r>
    </w:p>
    <w:p w:rsidR="00A217D3" w:rsidRDefault="00A217D3" w:rsidP="00A217D3">
      <w:pPr>
        <w:pStyle w:val="bpuState"/>
      </w:pPr>
      <w:r>
        <w:t>STATE OF NEW JERSEY</w:t>
      </w:r>
    </w:p>
    <w:p w:rsidR="00A217D3" w:rsidRDefault="00A217D3" w:rsidP="00A217D3">
      <w:pPr>
        <w:pStyle w:val="bpuLegislature"/>
      </w:pPr>
      <w:r>
        <w:t>219th LEGISLATURE</w:t>
      </w:r>
    </w:p>
    <w:p w:rsidR="00A217D3" w:rsidRDefault="00A217D3" w:rsidP="00A217D3">
      <w:pPr>
        <w:pStyle w:val="bpuWpGraphic"/>
      </w:pPr>
      <w:r>
        <w:object w:dxaOrig="8985" w:dyaOrig="255">
          <v:shape id="_x0000_i1026" type="#_x0000_t75" style="width:6in;height:10.95pt" o:ole="">
            <v:imagedata r:id="rId7" o:title=""/>
          </v:shape>
          <o:OLEObject Type="Embed" ProgID="WPWin6.1" ShapeID="_x0000_i1026" DrawAspect="Content" ObjectID="_1676105281" r:id="rId9"/>
        </w:object>
      </w:r>
      <w:r>
        <w:t xml:space="preserve">  </w:t>
      </w:r>
    </w:p>
    <w:p w:rsidR="00A217D3" w:rsidRDefault="00A217D3" w:rsidP="00A217D3">
      <w:pPr>
        <w:pStyle w:val="bpuIntro"/>
      </w:pPr>
      <w:r>
        <w:t>PRE-FILED FOR INTRODUCTION IN THE 2020 SESSION</w:t>
      </w:r>
    </w:p>
    <w:p w:rsidR="00A217D3" w:rsidRDefault="00A217D3" w:rsidP="00A217D3">
      <w:pPr>
        <w:pStyle w:val="bpuIntro"/>
      </w:pPr>
    </w:p>
    <w:p w:rsidR="00A217D3" w:rsidRDefault="00A217D3" w:rsidP="00A217D3">
      <w:pPr>
        <w:pStyle w:val="bpuIntro"/>
        <w:sectPr w:rsidR="00A217D3" w:rsidSect="00A217D3">
          <w:headerReference w:type="even" r:id="rId10"/>
          <w:headerReference w:type="default" r:id="rId11"/>
          <w:pgSz w:w="12240" w:h="20160" w:code="5"/>
          <w:pgMar w:top="2160" w:right="1440" w:bottom="1440" w:left="1440" w:header="720" w:footer="720" w:gutter="0"/>
          <w:pgNumType w:start="1"/>
          <w:cols w:space="720"/>
          <w:docGrid w:linePitch="360"/>
        </w:sectPr>
      </w:pPr>
    </w:p>
    <w:p w:rsidR="00A217D3" w:rsidRDefault="00A217D3" w:rsidP="00A217D3">
      <w:pPr>
        <w:pStyle w:val="bpuIntro"/>
      </w:pPr>
    </w:p>
    <w:p w:rsidR="00A217D3" w:rsidRDefault="00A217D3" w:rsidP="00A217D3">
      <w:pPr>
        <w:pStyle w:val="bpuSponsor"/>
      </w:pPr>
      <w:r>
        <w:t>Sponsored by:</w:t>
      </w:r>
    </w:p>
    <w:p w:rsidR="00A217D3" w:rsidRDefault="00A217D3" w:rsidP="00A217D3">
      <w:pPr>
        <w:pStyle w:val="bpuSponsor"/>
      </w:pPr>
      <w:r>
        <w:t>Assemblyman  JOHN F. MCKEON</w:t>
      </w:r>
    </w:p>
    <w:p w:rsidR="00A217D3" w:rsidRDefault="00A217D3" w:rsidP="00A217D3">
      <w:pPr>
        <w:pStyle w:val="bpuSponsor"/>
      </w:pPr>
      <w:r>
        <w:t>District 27 (Essex and Morris)</w:t>
      </w:r>
    </w:p>
    <w:p w:rsidR="00A217D3" w:rsidRDefault="00A217D3" w:rsidP="00A217D3">
      <w:pPr>
        <w:pStyle w:val="bpuSponsor"/>
      </w:pPr>
      <w:r>
        <w:t>Assemblywoman  VALERIE VAINIERI HUTTLE</w:t>
      </w:r>
    </w:p>
    <w:p w:rsidR="00A217D3" w:rsidRDefault="00A217D3" w:rsidP="00A217D3">
      <w:pPr>
        <w:pStyle w:val="bpuSponsor"/>
      </w:pPr>
      <w:r>
        <w:t>District 37 (Bergen)</w:t>
      </w:r>
    </w:p>
    <w:p w:rsidR="00A217D3" w:rsidRDefault="00A217D3" w:rsidP="00A217D3">
      <w:pPr>
        <w:pStyle w:val="bpuSponsor"/>
      </w:pPr>
    </w:p>
    <w:p w:rsidR="00A217D3" w:rsidRDefault="00A217D3" w:rsidP="00A217D3">
      <w:pPr>
        <w:pStyle w:val="bpuSponsor"/>
      </w:pPr>
      <w:r>
        <w:t>Co-Sponsored by:</w:t>
      </w:r>
    </w:p>
    <w:p w:rsidR="00A217D3" w:rsidRPr="00A217D3" w:rsidRDefault="00A217D3" w:rsidP="00A217D3">
      <w:pPr>
        <w:pStyle w:val="bpuSponsor"/>
      </w:pPr>
      <w:r w:rsidRPr="00A217D3">
        <w:t>Assemblymen Zwicker and Conaway</w:t>
      </w:r>
    </w:p>
    <w:p w:rsidR="00A217D3" w:rsidRDefault="00A217D3" w:rsidP="00A217D3">
      <w:pPr>
        <w:pStyle w:val="bpuSponsor"/>
      </w:pPr>
    </w:p>
    <w:p w:rsidR="00DF0ED8" w:rsidRDefault="00DF0ED8" w:rsidP="00DF0ED8"/>
    <w:p w:rsidR="00DF0ED8" w:rsidRPr="00DF0ED8" w:rsidRDefault="00DF0ED8" w:rsidP="00DF0ED8"/>
    <w:p w:rsidR="00A217D3" w:rsidRDefault="00A217D3" w:rsidP="00A217D3">
      <w:pPr>
        <w:pStyle w:val="bpuSponsor"/>
      </w:pPr>
    </w:p>
    <w:p w:rsidR="00A217D3" w:rsidRDefault="00A217D3" w:rsidP="00A217D3">
      <w:pPr>
        <w:pStyle w:val="bpuSponsor"/>
      </w:pPr>
      <w:r>
        <w:t>SYNOPSIS</w:t>
      </w:r>
    </w:p>
    <w:p w:rsidR="00A217D3" w:rsidRDefault="00A217D3" w:rsidP="00A217D3">
      <w:pPr>
        <w:pStyle w:val="bpuNormText"/>
      </w:pPr>
      <w:r>
        <w:tab/>
        <w:t xml:space="preserve">Expands definition of "qualified offshore wind project" to include "open access offshore wind transmission facility." </w:t>
      </w:r>
    </w:p>
    <w:p w:rsidR="00A217D3" w:rsidRDefault="00A217D3" w:rsidP="00A217D3">
      <w:pPr>
        <w:pStyle w:val="bpuNormText"/>
      </w:pPr>
    </w:p>
    <w:p w:rsidR="00A217D3" w:rsidRDefault="00A217D3" w:rsidP="00A217D3">
      <w:pPr>
        <w:pStyle w:val="bpuSponsor"/>
      </w:pPr>
      <w:r>
        <w:t xml:space="preserve">CURRENT VERSION OF TEXT </w:t>
      </w:r>
    </w:p>
    <w:p w:rsidR="00A217D3" w:rsidRDefault="00A217D3" w:rsidP="00A217D3">
      <w:pPr>
        <w:pStyle w:val="bpuNormText"/>
      </w:pPr>
      <w:r>
        <w:tab/>
        <w:t>Introduced Pending Technical Review by Legislative Counsel.</w:t>
      </w:r>
    </w:p>
    <w:p w:rsidR="00A217D3" w:rsidRDefault="00A217D3" w:rsidP="00A217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17D3" w:rsidRDefault="00A217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17D3" w:rsidSect="00A217D3">
          <w:type w:val="continuous"/>
          <w:pgSz w:w="12240" w:h="20160" w:code="5"/>
          <w:pgMar w:top="2160" w:right="2275" w:bottom="1440" w:left="2275" w:header="72" w:footer="720" w:gutter="0"/>
          <w:pgNumType w:start="1"/>
          <w:cols w:space="720"/>
          <w:docGrid w:linePitch="360"/>
        </w:sectPr>
      </w:pPr>
    </w:p>
    <w:p w:rsidR="00711963" w:rsidRPr="00677316" w:rsidRDefault="00711963" w:rsidP="00711963">
      <w:pPr>
        <w:pStyle w:val="HangingAnAct"/>
        <w:rPr>
          <w:rStyle w:val="HangingAnActChar"/>
        </w:rPr>
      </w:pPr>
      <w:r w:rsidRPr="00711963">
        <w:rPr>
          <w:rStyle w:val="BillHead"/>
        </w:rPr>
        <w:lastRenderedPageBreak/>
        <w:t>An Act</w:t>
      </w:r>
      <w:r w:rsidRPr="006B7FA7">
        <w:rPr>
          <w:rStyle w:val="HangingAnActChar"/>
        </w:rPr>
        <w:t xml:space="preserve"> </w:t>
      </w:r>
      <w:r>
        <w:rPr>
          <w:rStyle w:val="HangingAnActChar"/>
        </w:rPr>
        <w:t>concerning offshore wind</w:t>
      </w:r>
      <w:bookmarkStart w:id="1" w:name="_GoBack"/>
      <w:bookmarkEnd w:id="1"/>
      <w:r>
        <w:rPr>
          <w:rStyle w:val="HangingAnActChar"/>
        </w:rPr>
        <w:t xml:space="preserve"> projects, and amending P.L.1999, c.23 and P.L.2010, c.57.</w:t>
      </w:r>
    </w:p>
    <w:p w:rsidR="00711963" w:rsidRPr="00D71D68" w:rsidRDefault="00711963" w:rsidP="00711963"/>
    <w:p w:rsidR="00711963" w:rsidRPr="00AA7880" w:rsidRDefault="00711963" w:rsidP="00711963">
      <w:r>
        <w:tab/>
      </w:r>
      <w:r>
        <w:rPr>
          <w:rStyle w:val="BillHeading2"/>
        </w:rPr>
        <w:t xml:space="preserve">Be It Enacted </w:t>
      </w:r>
      <w:r>
        <w:rPr>
          <w:rStyle w:val="BillLanguage"/>
        </w:rPr>
        <w:t>by the Senate and General Assembly of the State of New Jersey:</w:t>
      </w:r>
    </w:p>
    <w:p w:rsidR="00711963" w:rsidRDefault="00711963" w:rsidP="00711963"/>
    <w:p w:rsidR="00711963" w:rsidRDefault="00711963" w:rsidP="00711963">
      <w:r>
        <w:tab/>
        <w:t>1.</w:t>
      </w:r>
      <w:r>
        <w:tab/>
        <w:t>Section 3 of P.L.1999, c.23 (C.48:3-51) is amended to read as follows:</w:t>
      </w:r>
    </w:p>
    <w:p w:rsidR="00711963" w:rsidRDefault="00711963" w:rsidP="00711963">
      <w:r>
        <w:tab/>
        <w:t>3.</w:t>
      </w:r>
      <w:r>
        <w:tab/>
        <w:t>As used in P.L.1999, c.23 (C.48:3-49 et al.):</w:t>
      </w:r>
    </w:p>
    <w:p w:rsidR="00711963" w:rsidRDefault="00711963" w:rsidP="00711963">
      <w:r>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711963" w:rsidRDefault="00711963" w:rsidP="00711963">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711963" w:rsidRDefault="00711963" w:rsidP="00711963">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711963" w:rsidRDefault="00711963" w:rsidP="00711963">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711963" w:rsidRDefault="00711963" w:rsidP="00711963">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711963" w:rsidRDefault="00711963" w:rsidP="00711963">
      <w:r>
        <w:tab/>
        <w:t>"Basic generation service provider" or "provider" means a provider of basic generation service.</w:t>
      </w:r>
    </w:p>
    <w:p w:rsidR="00711963" w:rsidRDefault="00711963" w:rsidP="00711963">
      <w:r>
        <w:tab/>
        <w:t xml:space="preserve">"Basic generation service transition costs" means the amount by which the payments by an electric public utility for the procurement of power for basic generation service and related ancillary and administrative costs exceeds the net revenues from the basic </w:t>
      </w:r>
      <w:r>
        <w:lastRenderedPageBreak/>
        <w:t>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711963" w:rsidRDefault="00711963" w:rsidP="00711963">
      <w:r>
        <w:tab/>
        <w:t>"Board" means the New Jersey Board of Public Utilities or any successor agency.</w:t>
      </w:r>
    </w:p>
    <w:p w:rsidR="00711963" w:rsidRDefault="00711963" w:rsidP="00711963">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711963" w:rsidRDefault="00711963" w:rsidP="00711963">
      <w:r>
        <w:tab/>
        <w:t xml:space="preserve">"Bondable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w:t>
      </w:r>
      <w:r>
        <w:lastRenderedPageBreak/>
        <w:t>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711963" w:rsidRDefault="00711963" w:rsidP="00711963">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711963" w:rsidRDefault="00711963" w:rsidP="00711963">
      <w:r>
        <w:tab/>
        <w:t>"British thermal unit" or "Btu" means the amount of heat required to increase the temperature of one pound of water by one degree Fahrenheit.</w:t>
      </w:r>
    </w:p>
    <w:p w:rsidR="00711963" w:rsidRDefault="00711963" w:rsidP="00711963">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711963" w:rsidRDefault="00711963" w:rsidP="00711963">
      <w:r>
        <w:tab/>
        <w:t>"Brownfield" means any former or current commercial or industrial site that is currently vacant or underutilized and on which there has been, or there is suspected to have been, a discharge of a contaminant.</w:t>
      </w:r>
    </w:p>
    <w:p w:rsidR="00711963" w:rsidRDefault="00711963" w:rsidP="00711963">
      <w:r>
        <w:tab/>
        <w:t>"Buydown"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711963" w:rsidRDefault="00711963" w:rsidP="00711963">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711963" w:rsidRDefault="00711963" w:rsidP="00711963">
      <w:r>
        <w:tab/>
        <w:t xml:space="preserve">"Class I renewable energy" means electric energy produced from solar technologies, photovoltaic technologies, wind energy, fuel cells, geothermal technologies, wave or tidal action, small scale </w:t>
      </w:r>
      <w:r>
        <w:lastRenderedPageBreak/>
        <w:t>hydropower facilities with a capacity of three megawatts or less and put into service after the effective date of P.L.2012, c.24, and methane gas from landfills or a biomass facility, provided that the biomass is cultivated and harvested in a sustainable manner.</w:t>
      </w:r>
    </w:p>
    <w:p w:rsidR="00711963" w:rsidRDefault="00711963" w:rsidP="00711963">
      <w:r>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711963" w:rsidRDefault="00711963" w:rsidP="00711963">
      <w:r>
        <w:tab/>
        <w:t>"Co-generation" means the sequential production of electricity and steam or other forms of useful energy used for industrial or commercial heating and cooling purposes.</w:t>
      </w:r>
    </w:p>
    <w:p w:rsidR="00711963" w:rsidRDefault="00711963" w:rsidP="00711963">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711963" w:rsidRDefault="00711963" w:rsidP="00711963">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711963" w:rsidRDefault="00711963" w:rsidP="00711963">
      <w:r>
        <w:tab/>
        <w:t>"Competitive service" means any service offered by an electric public utility or a gas public utility that the board determines to be competitive pursuant to section 8 or section 10 of P.L.1999, c.23 (C.48:3-56 or C.48:3-58) or that is not regulated by the board.</w:t>
      </w:r>
    </w:p>
    <w:p w:rsidR="00711963" w:rsidRDefault="00711963" w:rsidP="00711963">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711963" w:rsidRDefault="00711963" w:rsidP="00711963">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711963" w:rsidRDefault="00711963" w:rsidP="00711963">
      <w:r>
        <w:lastRenderedPageBreak/>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711963" w:rsidRDefault="00711963" w:rsidP="00711963">
      <w:r>
        <w:tab/>
        <w:t>"Customer" means any person that is an end user and is connected to any part of the transmission and distribution system within an electric public utility's service territory or a gas public utility's service territory within this State.</w:t>
      </w:r>
    </w:p>
    <w:p w:rsidR="00711963" w:rsidRDefault="00711963" w:rsidP="00711963">
      <w:r>
        <w:tab/>
        <w:t>"Customer account service" means metering, billing, or such other administrative activity associated with maintaining a customer account.</w:t>
      </w:r>
    </w:p>
    <w:p w:rsidR="00711963" w:rsidRDefault="00711963" w:rsidP="00711963">
      <w:r>
        <w:tab/>
        <w:t>"Delivery year" or "DY" means the 12-month period from June 1st through May 31st, numbered according to the calendar year in which it ends.</w:t>
      </w:r>
    </w:p>
    <w:p w:rsidR="00711963" w:rsidRDefault="00711963" w:rsidP="00711963">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711963" w:rsidRDefault="00711963" w:rsidP="00711963">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711963" w:rsidRDefault="00711963" w:rsidP="00711963">
      <w:r>
        <w:tab/>
        <w:t xml:space="preserve">"Electric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w:t>
      </w:r>
      <w:r>
        <w:lastRenderedPageBreak/>
        <w:t>for the purposes of P.L.1999, c.23 (C.48:3-49 et al.) shall not, in and of itself, affect the entity's status as an exempt wholesale generator under the Public Utility Holding Company Act of 1935, 15 U.S.C. s.79 et seq., or its successor act.</w:t>
      </w:r>
    </w:p>
    <w:p w:rsidR="00711963" w:rsidRDefault="00711963" w:rsidP="00711963">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711963" w:rsidRDefault="00711963" w:rsidP="00711963">
      <w:r>
        <w:tab/>
        <w:t>"Electric public utility" means a public utility, as that term is defined in R.S.48:2-13, that transmits and distributes electricity to end users within this State.</w:t>
      </w:r>
    </w:p>
    <w:p w:rsidR="00711963" w:rsidRDefault="00711963" w:rsidP="00711963">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711963" w:rsidRDefault="00711963" w:rsidP="00711963">
      <w:r>
        <w:tab/>
        <w:t>"Electronic signature" means an electronic sound, symbol, or process, attached to, or logically associated with, a contract or other record, and executed or adopted by a person with the intent to sign the record.</w:t>
      </w:r>
    </w:p>
    <w:p w:rsidR="00711963" w:rsidRDefault="00711963" w:rsidP="00711963">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711963" w:rsidRDefault="00711963" w:rsidP="00711963">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711963" w:rsidRDefault="00711963" w:rsidP="00711963">
      <w:r>
        <w:tab/>
        <w:t>"Energy consumer" means a business or residential consumer of electric generation service or gas supply service located within the territorial jurisdiction of a government aggregator.</w:t>
      </w:r>
    </w:p>
    <w:p w:rsidR="00711963" w:rsidRDefault="00711963" w:rsidP="00711963">
      <w:r>
        <w:tab/>
        <w:t>"Energy efficiency portfolio standard" means a requirement to procure a specified amount of energy efficiency or demand side management resources as a means of managing and reducing energy usage and demand by customers.</w:t>
      </w:r>
    </w:p>
    <w:p w:rsidR="00711963" w:rsidRDefault="00711963" w:rsidP="00711963">
      <w:r>
        <w:tab/>
        <w:t>"Energy year" or "EY" means the 12-month period from June 1st through May 31st, numbered according to the calendar year in which it ends.</w:t>
      </w:r>
    </w:p>
    <w:p w:rsidR="00711963" w:rsidRDefault="00711963" w:rsidP="00711963">
      <w:r>
        <w:lastRenderedPageBreak/>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711963" w:rsidRDefault="00711963" w:rsidP="00711963">
      <w:r>
        <w:tab/>
        <w:t>"Farmland" means land actively devoted to agricultural or horticultural use that is valued, assessed, and taxed pursuant to the "Farmland Assessment Act of 1964," P.L.1964,</w:t>
      </w:r>
      <w:r w:rsidR="00A217D3">
        <w:t> </w:t>
      </w:r>
      <w:r>
        <w:t>c.48</w:t>
      </w:r>
      <w:r w:rsidR="00A217D3">
        <w:t> </w:t>
      </w:r>
      <w:r>
        <w:t>(C.54:4-23.1</w:t>
      </w:r>
      <w:r w:rsidR="00A217D3">
        <w:t> </w:t>
      </w:r>
      <w:r>
        <w:t>et</w:t>
      </w:r>
      <w:r w:rsidR="00A217D3">
        <w:t> </w:t>
      </w:r>
      <w:r>
        <w:t>seq.).</w:t>
      </w:r>
    </w:p>
    <w:p w:rsidR="00711963" w:rsidRDefault="00711963" w:rsidP="00711963">
      <w:r>
        <w:tab/>
        <w:t>"Federal Energy Regulatory Commission" or "FERC" means the federal agency established pursuant to 42 U.S.C. s.7171 et seq. to regulate the interstate transmission of electricity, natural gas, and oil.</w:t>
      </w:r>
    </w:p>
    <w:p w:rsidR="00711963" w:rsidRDefault="00711963" w:rsidP="00711963">
      <w:r>
        <w:tab/>
        <w:t>"Final remediation document" shall have the same meaning as provided in section 3 of P.L.1976, c.141 (C.58:10-23.11b).</w:t>
      </w:r>
    </w:p>
    <w:p w:rsidR="00711963" w:rsidRDefault="00711963" w:rsidP="00711963">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711963" w:rsidRDefault="00711963" w:rsidP="00711963">
      <w:r>
        <w:tab/>
        <w:t>"Gas public utility" means a public utility, as that term is defined in R.S.48:2-13, that distributes gas to end users within this State.</w:t>
      </w:r>
    </w:p>
    <w:p w:rsidR="00711963" w:rsidRDefault="00711963" w:rsidP="00711963">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711963" w:rsidRDefault="00711963" w:rsidP="00711963">
      <w:r>
        <w:tab/>
        <w:t xml:space="preserve">"Gas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w:t>
      </w:r>
      <w:r>
        <w:lastRenderedPageBreak/>
        <w:t>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711963" w:rsidRDefault="00711963" w:rsidP="00711963">
      <w:r>
        <w:tab/>
        <w:t>"Gas supply service" means the provision to customers of the retail commodity of gas, but does not include any regulated distribution service.</w:t>
      </w:r>
    </w:p>
    <w:p w:rsidR="00711963" w:rsidRDefault="00711963" w:rsidP="00711963">
      <w:r>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711963" w:rsidRDefault="00711963" w:rsidP="00711963">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711963" w:rsidRDefault="00711963" w:rsidP="00711963">
      <w:r>
        <w:tab/>
        <w:t>"Governmental entity" means any federal, state, municipal, local, or other governmental department, commission, board, agency, court, authority, or instrumentality having competent jurisdiction.</w:t>
      </w:r>
    </w:p>
    <w:p w:rsidR="00711963" w:rsidRDefault="00711963" w:rsidP="00711963">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711963" w:rsidRDefault="00711963" w:rsidP="00711963">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711963" w:rsidRDefault="00711963" w:rsidP="00711963">
      <w:r>
        <w:tab/>
        <w:t xml:space="preserve">"Incremental auction" means an auction conducted by PJM, as part of PJM's reliability pricing model, prior to the start of the delivery year to secure electric capacity as necessary to satisfy the </w:t>
      </w:r>
      <w:r>
        <w:lastRenderedPageBreak/>
        <w:t>capacity requirements for that delivery year, that is not otherwise provided for in the base residual auction.</w:t>
      </w:r>
    </w:p>
    <w:p w:rsidR="00711963" w:rsidRDefault="00711963" w:rsidP="00711963">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711963" w:rsidRDefault="00711963" w:rsidP="00711963">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711963" w:rsidRDefault="00711963" w:rsidP="00711963">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711963" w:rsidRDefault="00711963" w:rsidP="00711963">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711963" w:rsidRDefault="00711963" w:rsidP="00711963">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711963" w:rsidRDefault="00711963" w:rsidP="00711963">
      <w:r>
        <w:tab/>
        <w:t>"Mid-merit electric power generation facility" means a generation facility that operates at a capacity factor between baseload generation facilities and peaker generation facilities.</w:t>
      </w:r>
    </w:p>
    <w:p w:rsidR="00711963" w:rsidRDefault="00711963" w:rsidP="00711963">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711963" w:rsidRDefault="00711963" w:rsidP="00711963">
      <w:r>
        <w:tab/>
        <w:t>"Net proceeds" means proceeds less transaction and other related costs as determined by the board.</w:t>
      </w:r>
    </w:p>
    <w:p w:rsidR="00711963" w:rsidRDefault="00711963" w:rsidP="00711963">
      <w:r>
        <w:tab/>
        <w:t>"Net revenues" means revenues less related expenses, including applicable taxes, as determined by the board.</w:t>
      </w:r>
    </w:p>
    <w:p w:rsidR="00711963" w:rsidRDefault="00711963" w:rsidP="00711963">
      <w:r>
        <w:lastRenderedPageBreak/>
        <w:tab/>
        <w:t>"Offshore wind energy" means electric energy produced by a qualified offshore wind project.</w:t>
      </w:r>
    </w:p>
    <w:p w:rsidR="00711963" w:rsidRDefault="00711963" w:rsidP="00711963">
      <w:r>
        <w:tab/>
        <w:t xml:space="preserve">"Offshore wind renewable energy certificate" or "OREC" means a certificate, issued by the board or its designee, representing the environmental attributes </w:t>
      </w:r>
      <w:r w:rsidRPr="009E75B4">
        <w:rPr>
          <w:rFonts w:ascii="Albertus Extra Bold" w:hAnsi="Albertus Extra Bold"/>
          <w:b/>
        </w:rPr>
        <w:t>[</w:t>
      </w:r>
      <w:r>
        <w:t>of</w:t>
      </w:r>
      <w:r w:rsidRPr="009E75B4">
        <w:rPr>
          <w:rFonts w:ascii="Albertus Extra Bold" w:hAnsi="Albertus Extra Bold"/>
          <w:b/>
        </w:rPr>
        <w:t>]</w:t>
      </w:r>
      <w:r>
        <w:t xml:space="preserve"> </w:t>
      </w:r>
      <w:r>
        <w:rPr>
          <w:u w:val="single"/>
        </w:rPr>
        <w:t>equivalent to</w:t>
      </w:r>
      <w:r>
        <w:t xml:space="preserve"> one megawatt hour of electric generation </w:t>
      </w:r>
      <w:r>
        <w:rPr>
          <w:u w:val="single"/>
        </w:rPr>
        <w:t>or one megawatt of electric transmission transfer capability</w:t>
      </w:r>
      <w:r>
        <w:t xml:space="preserve"> from a qualified offshore wind project.</w:t>
      </w:r>
    </w:p>
    <w:p w:rsidR="00711963" w:rsidRDefault="00711963" w:rsidP="00711963">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711963" w:rsidRDefault="00711963" w:rsidP="00711963">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711963" w:rsidRPr="009E75B4" w:rsidRDefault="00711963" w:rsidP="00711963">
      <w:pPr>
        <w:rPr>
          <w:u w:val="single"/>
        </w:rPr>
      </w:pPr>
      <w:r>
        <w:tab/>
      </w:r>
      <w:r>
        <w:rPr>
          <w:u w:val="single"/>
        </w:rPr>
        <w:t>"Open access offshore wind transmission</w:t>
      </w:r>
      <w:r w:rsidRPr="009E75B4">
        <w:rPr>
          <w:u w:val="single"/>
        </w:rPr>
        <w:t xml:space="preserve"> facility"</w:t>
      </w:r>
      <w:r>
        <w:rPr>
          <w:u w:val="single"/>
        </w:rPr>
        <w:t xml:space="preserve"> means a high voltage transmission facility that conforms to applicable FERC regulations and policies regarding open access transmission, including but not limited to FERC regulations and policies relating to allocation of transmission capacity and open access, the provision of transmission and related transmission interconnection services pursuant to a FERC-approved or FERC-accepted Open Access Transmission Tariff, the justness and reasonableness of rates for such transmission and related interconnection services, the potential for undue preference or discrimination, and affiliate dealings, if any.    </w:t>
      </w:r>
    </w:p>
    <w:p w:rsidR="00711963" w:rsidRDefault="00711963" w:rsidP="00711963">
      <w:r>
        <w:tab/>
        <w:t>"Person" means an individual, partnership, corporation, association, trust, limited liability company, governmental entity, or other legal entity.</w:t>
      </w:r>
    </w:p>
    <w:p w:rsidR="00711963" w:rsidRDefault="00711963" w:rsidP="00711963">
      <w:r>
        <w:tab/>
        <w:t xml:space="preserve">"PJM Interconnection, L.L.C." or "PJM" means the privately-held, limited liability corporation that is a FERC-approved Regional </w:t>
      </w:r>
      <w:r>
        <w:lastRenderedPageBreak/>
        <w:t>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711963" w:rsidRDefault="00711963" w:rsidP="00711963">
      <w:r>
        <w:tab/>
        <w:t>"Preliminary assessment" shall have the same meaning as provided in section 3 of P.L.1976, c.141 (C.58:10-23.11b).</w:t>
      </w:r>
    </w:p>
    <w:p w:rsidR="00711963" w:rsidRDefault="00711963" w:rsidP="00711963">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711963" w:rsidRDefault="00711963" w:rsidP="00711963">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711963" w:rsidRDefault="00711963" w:rsidP="00711963">
      <w:r>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711963" w:rsidRDefault="00711963" w:rsidP="00711963">
      <w:r>
        <w:lastRenderedPageBreak/>
        <w:tab/>
        <w:t xml:space="preserve">"Qualified offshore wind project" means </w:t>
      </w:r>
      <w:r>
        <w:rPr>
          <w:u w:val="single"/>
        </w:rPr>
        <w:t>:  (1)</w:t>
      </w:r>
      <w:r>
        <w:t xml:space="preserve"> a wind turbine electricity generation facility in the Atlantic Ocean and connected to the electric transmission system in this State, </w:t>
      </w:r>
      <w:r w:rsidRPr="00E954F2">
        <w:rPr>
          <w:rFonts w:ascii="Albertus Extra Bold" w:hAnsi="Albertus Extra Bold"/>
          <w:b/>
        </w:rPr>
        <w:t>[</w:t>
      </w:r>
      <w:r>
        <w:t>and includes</w:t>
      </w:r>
      <w:r w:rsidRPr="00E954F2">
        <w:rPr>
          <w:rFonts w:ascii="Albertus Extra Bold" w:hAnsi="Albertus Extra Bold"/>
          <w:b/>
        </w:rPr>
        <w:t>]</w:t>
      </w:r>
      <w:r>
        <w:t xml:space="preserve"> </w:t>
      </w:r>
      <w:r>
        <w:rPr>
          <w:u w:val="single"/>
        </w:rPr>
        <w:t>which may also include</w:t>
      </w:r>
      <w:r>
        <w:t xml:space="preserve"> the associated transmission-related interconnection facilities and equipment, and approved by the board pursuant to section 3 of P.L.2010, c.57 (C.48:3-87.1) </w:t>
      </w:r>
      <w:r>
        <w:rPr>
          <w:u w:val="single"/>
        </w:rPr>
        <w:t xml:space="preserve">; or (2) an open access offshore wind transmission facility, including any associated interconnection facilities and equipment, in the Atlantic Ocean and connected to the electric transmission system in this State, that is connected with a wind turbine electricity generation facility in the Atlantic Ocean, and approved </w:t>
      </w:r>
      <w:r w:rsidRPr="00E954F2">
        <w:rPr>
          <w:u w:val="single"/>
        </w:rPr>
        <w:t>by the board pursuant to section 3 of P.L.2010, c.57 (C.48:3-87.1)</w:t>
      </w:r>
      <w:r>
        <w:t xml:space="preserve"> .</w:t>
      </w:r>
    </w:p>
    <w:p w:rsidR="00711963" w:rsidRDefault="00711963" w:rsidP="00711963">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711963" w:rsidRDefault="00711963" w:rsidP="00711963">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711963" w:rsidRDefault="00711963" w:rsidP="00711963">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711963" w:rsidRDefault="00711963" w:rsidP="00711963">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711963" w:rsidRDefault="00711963" w:rsidP="00711963">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711963" w:rsidRDefault="00711963" w:rsidP="00711963">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711963" w:rsidRDefault="00711963" w:rsidP="00711963">
      <w:r>
        <w:lastRenderedPageBreak/>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711963" w:rsidRDefault="00711963" w:rsidP="00711963">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711963" w:rsidRDefault="00711963" w:rsidP="00711963">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711963" w:rsidRDefault="00711963" w:rsidP="00711963">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711963" w:rsidRDefault="00711963" w:rsidP="00711963">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711963" w:rsidRDefault="00711963" w:rsidP="00711963">
      <w:r>
        <w:tab/>
        <w:t xml:space="preserve">"Sales representative" means a person employed by, acting on behalf of, or as an independent contractor for, an electric power </w:t>
      </w:r>
      <w:r>
        <w:lastRenderedPageBreak/>
        <w:t>supplier, gas supplier, broker, energy agent, marketer, or private aggregator who, by any means, solicits a potential residential customer for the provision of electric generation service or gas supply service.</w:t>
      </w:r>
    </w:p>
    <w:p w:rsidR="00711963" w:rsidRDefault="00711963" w:rsidP="00711963">
      <w:r>
        <w:tab/>
        <w:t>"Sanitary landfill facility" shall have the same meaning as provided in section 3 of P.L.1970, c.39 (C.13:1E-3).</w:t>
      </w:r>
    </w:p>
    <w:p w:rsidR="00711963" w:rsidRDefault="00711963" w:rsidP="00711963">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711963" w:rsidRDefault="00711963" w:rsidP="00711963">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711963" w:rsidRDefault="00711963" w:rsidP="00711963">
      <w:r>
        <w:tab/>
        <w:t>"Site investigation" shall have the same meaning as provided in section 3 of P.L.1976, c.141 (C.58:10-23.11b).</w:t>
      </w:r>
    </w:p>
    <w:p w:rsidR="00711963" w:rsidRDefault="00711963" w:rsidP="00711963">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711963" w:rsidRDefault="00711963" w:rsidP="00711963">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711963" w:rsidRDefault="00711963" w:rsidP="00711963">
      <w:r>
        <w:tab/>
        <w:t>"Societal benefits charge" means a charge imposed by an electric public utility, at a level determined by the board, pursuant to, and in accordance with, section 12 of P.L.1999, c.23 (C.48:3-60).</w:t>
      </w:r>
    </w:p>
    <w:p w:rsidR="00711963" w:rsidRDefault="00711963" w:rsidP="00711963">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711963" w:rsidRDefault="00711963" w:rsidP="00711963">
      <w:r>
        <w:tab/>
        <w:t xml:space="preserve">"Solar renewable energy certificate" or "SREC" means a certificate issued by the board or its designee, representing one </w:t>
      </w:r>
      <w:r>
        <w:lastRenderedPageBreak/>
        <w:t>megawatt hour (MWh) of solar energy that is generated by a facility connected to the distribution system in this State and has value based upon, and driven by, the energy market.</w:t>
      </w:r>
    </w:p>
    <w:p w:rsidR="00711963" w:rsidRDefault="00711963" w:rsidP="00711963">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non-bypassable charge, with such an order, once issued, being irrevocable.</w:t>
      </w:r>
    </w:p>
    <w:p w:rsidR="00711963" w:rsidRDefault="00711963" w:rsidP="00711963">
      <w:r>
        <w:tab/>
        <w:t>"Standard offer capacity price" or "SOCP" means the capacity price that is fixed for the term of the SOCA and which is the price to be received by eligible generators under a board-approved SOCA.</w:t>
      </w:r>
    </w:p>
    <w:p w:rsidR="00711963" w:rsidRDefault="00711963" w:rsidP="00711963">
      <w:r>
        <w:tab/>
        <w:t>"State entity" means a department, agency, or office of State government, a State university or college, or an authority created by the State.</w:t>
      </w:r>
    </w:p>
    <w:p w:rsidR="00711963" w:rsidRDefault="00711963" w:rsidP="00711963">
      <w:r>
        <w:tab/>
        <w:t>"Stranded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buydowns or buyouts of power purchase contracts.</w:t>
      </w:r>
    </w:p>
    <w:p w:rsidR="00711963" w:rsidRDefault="00711963" w:rsidP="00711963">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711963" w:rsidRDefault="00711963" w:rsidP="00711963">
      <w:r>
        <w:tab/>
        <w:t>"Telemarketer" shall have the same meaning as set forth in section 2 of P.L.2003, c.76 (C.56:8-120).</w:t>
      </w:r>
    </w:p>
    <w:p w:rsidR="00711963" w:rsidRDefault="00711963" w:rsidP="00711963">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711963" w:rsidRDefault="00711963" w:rsidP="00711963">
      <w:r>
        <w:tab/>
        <w:t>"Thermal efficiency" means the useful electric energy output of a facility, plus the useful thermal energy output of the facility, expressed as a percentage of the total energy input to the facility.</w:t>
      </w:r>
    </w:p>
    <w:p w:rsidR="00711963" w:rsidRDefault="00711963" w:rsidP="00711963">
      <w:r>
        <w:lastRenderedPageBreak/>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711963" w:rsidRDefault="00711963" w:rsidP="00711963">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711963" w:rsidRDefault="00711963" w:rsidP="00711963">
      <w:r>
        <w:tab/>
        <w:t>"Transition period" means the period from August 1, 1999 through July 31, 2003.</w:t>
      </w:r>
    </w:p>
    <w:p w:rsidR="00711963" w:rsidRDefault="00711963" w:rsidP="00711963">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711963" w:rsidRDefault="00711963" w:rsidP="00711963">
      <w:r>
        <w:tab/>
        <w:t>"Universal service" means any service approved by the board with the purpose of assisting low-income residential customers in obtaining or retaining electric generation or delivery service.</w:t>
      </w:r>
    </w:p>
    <w:p w:rsidR="00711963" w:rsidRDefault="00711963" w:rsidP="00711963">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711963" w:rsidRDefault="00A217D3" w:rsidP="00711963">
      <w:r>
        <w:t xml:space="preserve">(cf: </w:t>
      </w:r>
      <w:r w:rsidR="00711963">
        <w:t>P.L.2015, c.51, s.1)</w:t>
      </w:r>
    </w:p>
    <w:p w:rsidR="00711963" w:rsidRDefault="00711963" w:rsidP="00711963"/>
    <w:p w:rsidR="00711963" w:rsidRDefault="00711963" w:rsidP="00711963">
      <w:r>
        <w:tab/>
        <w:t>2.</w:t>
      </w:r>
      <w:r>
        <w:tab/>
        <w:t>Section 3 of P.L.2010, c.57 (C.48:3-87.1) is amended to read as follows:</w:t>
      </w:r>
    </w:p>
    <w:p w:rsidR="00711963" w:rsidRDefault="00711963" w:rsidP="00711963">
      <w:r>
        <w:tab/>
        <w:t>3.</w:t>
      </w:r>
      <w:r>
        <w:tab/>
        <w:t>a.  An entity seeking to construct an offshore wind project shall submit an application to the board for approval by the board as a qualified offshore wind project, which shall include, but need not be limited to, the following information:</w:t>
      </w:r>
    </w:p>
    <w:p w:rsidR="00711963" w:rsidRDefault="00711963" w:rsidP="00711963">
      <w:r>
        <w:tab/>
        <w:t>(1)</w:t>
      </w:r>
      <w:r>
        <w:tab/>
        <w:t xml:space="preserve">a detailed description of the project, including maps, surveys and other visual aides.  This description shall include, but need not be limited to:  the type, size and number of proposed turbines and foundations </w:t>
      </w:r>
      <w:r>
        <w:rPr>
          <w:u w:val="single"/>
        </w:rPr>
        <w:t>, if applicable</w:t>
      </w:r>
      <w:r>
        <w:t xml:space="preserve"> ; the history to-date of the same type, </w:t>
      </w:r>
      <w:r>
        <w:lastRenderedPageBreak/>
        <w:t>size and manufacturer of installed turbines and foundations globally </w:t>
      </w:r>
      <w:r>
        <w:rPr>
          <w:u w:val="single"/>
        </w:rPr>
        <w:t>, if applicable; a detailed description of the transmission facilities and interconnection facilities to be installed</w:t>
      </w:r>
      <w:r>
        <w:t xml:space="preserve"> ; and a detailed implementation plan that highlights key milestone activities during the permitting, financing, design, equipment solicitation, manufacturing, shipping, assembly, in-field installation, testing, equipment commissioning and service start-up;</w:t>
      </w:r>
    </w:p>
    <w:p w:rsidR="00711963" w:rsidRDefault="00711963" w:rsidP="00711963">
      <w:r>
        <w:tab/>
        <w:t>(2)</w:t>
      </w:r>
      <w:r>
        <w:tab/>
        <w:t>a completed financial analysis of the project including pro forma income statements, balance sheets, and cash flow projections for a 20-year period, including the internal rate of return, and a description and estimate of any State or federal tax benefits that may be associated with the project;</w:t>
      </w:r>
    </w:p>
    <w:p w:rsidR="00711963" w:rsidRDefault="00711963" w:rsidP="00711963">
      <w:r>
        <w:tab/>
        <w:t>(3)</w:t>
      </w:r>
      <w:r>
        <w:tab/>
        <w:t>the proposed method of financing the project, including identification of equity investors, fixed income investors, and any other sources of capital;</w:t>
      </w:r>
    </w:p>
    <w:p w:rsidR="00711963" w:rsidRDefault="00711963" w:rsidP="00711963">
      <w:r>
        <w:tab/>
        <w:t>(4)</w:t>
      </w:r>
      <w:r>
        <w:tab/>
        <w:t xml:space="preserve">documentation that the entity has applied for all eligible federal funds and programs available to offset the cost of the project or provide tax advantages; </w:t>
      </w:r>
    </w:p>
    <w:p w:rsidR="00711963" w:rsidRDefault="00711963" w:rsidP="00711963">
      <w:r>
        <w:tab/>
        <w:t>(5)</w:t>
      </w:r>
      <w:r>
        <w:tab/>
        <w:t xml:space="preserve">the projected electrical output </w:t>
      </w:r>
      <w:r>
        <w:rPr>
          <w:u w:val="single"/>
        </w:rPr>
        <w:t>or projected transmission transfer capability</w:t>
      </w:r>
      <w:r>
        <w:t xml:space="preserve"> and anticipated market prices over the anticipated life of the project, including a forecast of electricity revenues from the sale of energy derived from the project and capacity, </w:t>
      </w:r>
      <w:r>
        <w:rPr>
          <w:u w:val="single"/>
        </w:rPr>
        <w:t>or from the sale of transmission transfer capability or related services,</w:t>
      </w:r>
      <w:r>
        <w:t xml:space="preserve"> as well as revenues anticipated by the sale of any ORECs, RECs, air emission credits or offsets, or any tradable environmental attributes created by the project;</w:t>
      </w:r>
    </w:p>
    <w:p w:rsidR="00711963" w:rsidRDefault="00711963" w:rsidP="00711963">
      <w:r>
        <w:tab/>
        <w:t>(6)</w:t>
      </w:r>
      <w:r>
        <w:tab/>
        <w:t xml:space="preserve">an operations and maintenance plan for the initial 20-year operation of the project that: details routine, intermittent and emergency protocols; identifies the primary risks to the built infrastructure and how the potential risks, including but not limited to hurricanes, lightning, fog, rogue wave occurrences, and exposed cabling, shall be mitigated; and identifies specific and concrete elements to ensure both construction and operational cost controls.  This operations and maintenance plan shall be integrated into the financial analysis of the project, and shall identify the projected plan for the subsequent 20 years, following conclusion of the initial 20-year operations, assuming any necessary federal lease agreements are maintained and renewed; </w:t>
      </w:r>
    </w:p>
    <w:p w:rsidR="00711963" w:rsidRDefault="00711963" w:rsidP="00711963">
      <w:r>
        <w:tab/>
        <w:t>(7)</w:t>
      </w:r>
      <w:r>
        <w:tab/>
        <w:t>the anticipated carbon dioxide emissions impact of the project;</w:t>
      </w:r>
    </w:p>
    <w:p w:rsidR="00711963" w:rsidRDefault="00711963" w:rsidP="00711963">
      <w:r>
        <w:tab/>
        <w:t>(8)</w:t>
      </w:r>
      <w:r>
        <w:tab/>
        <w:t>a decommissioning plan for the project including provisions for financial assurance for decommissioning as required by the applicable State and federal governmental entities;</w:t>
      </w:r>
    </w:p>
    <w:p w:rsidR="00711963" w:rsidRDefault="00711963" w:rsidP="00711963">
      <w:r>
        <w:tab/>
        <w:t>(9)</w:t>
      </w:r>
      <w:r>
        <w:tab/>
        <w:t>a list of all State and federal regulatory agency approvals, permits, or other authorizations required pursuant to State and federal law for the offshore wind project, and copies of all submitted permit applications and any issued approvals and permits for the offshore wind project;</w:t>
      </w:r>
    </w:p>
    <w:p w:rsidR="00711963" w:rsidRDefault="00711963" w:rsidP="00711963">
      <w:r>
        <w:lastRenderedPageBreak/>
        <w:tab/>
        <w:t>(10) a cost-benefit analysis for the project including at a minimum:</w:t>
      </w:r>
    </w:p>
    <w:p w:rsidR="00711963" w:rsidRDefault="00711963" w:rsidP="00711963">
      <w:r>
        <w:tab/>
        <w:t>(a)</w:t>
      </w:r>
      <w:r>
        <w:tab/>
        <w:t>a detailed input-output analysis of the impact of the project on income, employment , wages, indirect business taxes, and output in the State with particular emphasis on in-State manufacturing employment;</w:t>
      </w:r>
    </w:p>
    <w:p w:rsidR="00711963" w:rsidRDefault="00711963" w:rsidP="00711963">
      <w:r>
        <w:tab/>
        <w:t>(b)</w:t>
      </w:r>
      <w:r>
        <w:tab/>
        <w:t xml:space="preserve">an explanation of the location, type and salary of employment opportunities to be created by the project with job totals expressed as full-time equivalent positions assuming 1,820 hours per year; </w:t>
      </w:r>
    </w:p>
    <w:p w:rsidR="00711963" w:rsidRDefault="00711963" w:rsidP="00711963">
      <w:r>
        <w:tab/>
        <w:t>(c)</w:t>
      </w:r>
      <w:r>
        <w:tab/>
        <w:t>an analysis of the anticipated environmental benefits and environmental impacts of the project; and</w:t>
      </w:r>
    </w:p>
    <w:p w:rsidR="00711963" w:rsidRDefault="00711963" w:rsidP="00711963">
      <w:r>
        <w:tab/>
        <w:t>(d)</w:t>
      </w:r>
      <w:r>
        <w:tab/>
        <w:t>an analysis of the potential impacts on residential and industrial ratepayers of electricity rates over the life of the project that may be caused by incorporating any State subsidy into rates;</w:t>
      </w:r>
    </w:p>
    <w:p w:rsidR="00711963" w:rsidRDefault="00711963" w:rsidP="00711963">
      <w:r>
        <w:tab/>
        <w:t xml:space="preserve">(11) a proposed OREC pricing method and schedule for the board to consider; </w:t>
      </w:r>
    </w:p>
    <w:p w:rsidR="00711963" w:rsidRDefault="00711963" w:rsidP="00711963">
      <w:r>
        <w:tab/>
        <w:t>(12) a timeline for the permitting, licensing and construction of the proposed offshore wind project;</w:t>
      </w:r>
    </w:p>
    <w:p w:rsidR="00711963" w:rsidRDefault="00711963" w:rsidP="00711963">
      <w:r>
        <w:tab/>
        <w:t>(13) a plan for interconnection, including engineering specifications and costs; and</w:t>
      </w:r>
    </w:p>
    <w:p w:rsidR="00711963" w:rsidRDefault="00711963" w:rsidP="00711963">
      <w:r>
        <w:tab/>
        <w:t>(14) any other information deemed necessary by the board in order to conduct a thorough evaluation of the proposal.  The board may hire consultants or other experts if the board determines that obtaining such outside expertise would be beneficial to the review of the proposal.</w:t>
      </w:r>
    </w:p>
    <w:p w:rsidR="00711963" w:rsidRDefault="00711963" w:rsidP="00711963">
      <w:r>
        <w:tab/>
        <w:t>b.</w:t>
      </w:r>
      <w:r>
        <w:tab/>
        <w:t>(1) In considering an application for a qualified offshore wind project, submitted pursuant to subsection a. of this section, the board shall determine that the application satisfies the following conditions:</w:t>
      </w:r>
    </w:p>
    <w:p w:rsidR="00711963" w:rsidRDefault="00711963" w:rsidP="00711963">
      <w:r>
        <w:tab/>
        <w:t>(a)</w:t>
      </w:r>
      <w:r>
        <w:tab/>
        <w:t>the filing is consistent with the New Jersey energy master plan, adopted pursuant to section 12 of P.L.1977, c.146 (C.52:27F-14), in effect at the time the board is considering the application;</w:t>
      </w:r>
    </w:p>
    <w:p w:rsidR="00711963" w:rsidRDefault="00711963" w:rsidP="00711963">
      <w:r>
        <w:tab/>
        <w:t>(b)</w:t>
      </w:r>
      <w:r>
        <w:tab/>
        <w:t xml:space="preserve">the cost-benefit analysis, submitted pursuant to paragraph (10) of subsection a. of this section, demonstrates positive economic and environmental net benefits to the State; </w:t>
      </w:r>
    </w:p>
    <w:p w:rsidR="00711963" w:rsidRDefault="00711963" w:rsidP="00711963">
      <w:r>
        <w:tab/>
        <w:t>(c)</w:t>
      </w:r>
      <w:r>
        <w:tab/>
        <w:t xml:space="preserve">the financing mechanism is based upon the actual electrical output of </w:t>
      </w:r>
      <w:r>
        <w:rPr>
          <w:u w:val="single"/>
        </w:rPr>
        <w:t>, or transmission transfer capability provided by,</w:t>
      </w:r>
      <w:r>
        <w:t xml:space="preserve"> the project, fairly balances the risks and rewards of the project between ratepayers and shareholders, and ensures that any costs of non-performance, in either the construction or operational phase of the project, shall be borne by shareholders; and</w:t>
      </w:r>
    </w:p>
    <w:p w:rsidR="00711963" w:rsidRDefault="00711963" w:rsidP="00711963">
      <w:r>
        <w:tab/>
        <w:t>(d)</w:t>
      </w:r>
      <w:r>
        <w:tab/>
        <w:t>the entity proposing the project demonstrates financial integrity and sufficient access to capital to allow for a reasonable expectation of completion of construction of the project.</w:t>
      </w:r>
    </w:p>
    <w:p w:rsidR="00711963" w:rsidRDefault="00711963" w:rsidP="00711963">
      <w:r>
        <w:tab/>
        <w:t>(2)</w:t>
      </w:r>
      <w:r>
        <w:tab/>
        <w:t>In considering an application for a qualified offshore wind project, submitted pursuant to subsection a. of this section, the board shall also consider:</w:t>
      </w:r>
    </w:p>
    <w:p w:rsidR="00711963" w:rsidRDefault="00711963" w:rsidP="00711963">
      <w:r>
        <w:lastRenderedPageBreak/>
        <w:tab/>
        <w:t>(a)</w:t>
      </w:r>
      <w:r>
        <w:tab/>
        <w:t>the total level of subsidies to be paid by ratepayers for qualified offshore wind projects over the life of the project; and</w:t>
      </w:r>
    </w:p>
    <w:p w:rsidR="00711963" w:rsidRDefault="00711963" w:rsidP="00711963">
      <w:r>
        <w:tab/>
        <w:t>(b)</w:t>
      </w:r>
      <w:r>
        <w:tab/>
        <w:t>any other elements the board deems appropriate in conjunction with the application.</w:t>
      </w:r>
    </w:p>
    <w:p w:rsidR="00711963" w:rsidRDefault="00711963" w:rsidP="00711963">
      <w:r>
        <w:tab/>
        <w:t>c.</w:t>
      </w:r>
      <w:r>
        <w:tab/>
        <w:t>An order issued by the board to approve an application for a qualified offshore wind project pursuant to this section shall, at a minimum, include conditions to ensure the following:</w:t>
      </w:r>
    </w:p>
    <w:p w:rsidR="00711963" w:rsidRDefault="00711963" w:rsidP="00711963">
      <w:r>
        <w:tab/>
        <w:t>(1)</w:t>
      </w:r>
      <w:r>
        <w:tab/>
        <w:t xml:space="preserve">no OREC shall be paid until electricity is produced by the </w:t>
      </w:r>
      <w:r w:rsidRPr="009907B9">
        <w:rPr>
          <w:rFonts w:ascii="Albertus Extra Bold" w:hAnsi="Albertus Extra Bold"/>
          <w:b/>
        </w:rPr>
        <w:t>[</w:t>
      </w:r>
      <w:r>
        <w:t>qualified</w:t>
      </w:r>
      <w:r w:rsidRPr="009907B9">
        <w:rPr>
          <w:rFonts w:ascii="Albertus Extra Bold" w:hAnsi="Albertus Extra Bold"/>
          <w:b/>
        </w:rPr>
        <w:t>]</w:t>
      </w:r>
      <w:r>
        <w:t xml:space="preserve"> offshore wind </w:t>
      </w:r>
      <w:r w:rsidRPr="009907B9">
        <w:rPr>
          <w:rFonts w:ascii="Albertus Extra Bold" w:hAnsi="Albertus Extra Bold"/>
          <w:b/>
        </w:rPr>
        <w:t>[</w:t>
      </w:r>
      <w:r>
        <w:t>project</w:t>
      </w:r>
      <w:r w:rsidRPr="009907B9">
        <w:rPr>
          <w:rFonts w:ascii="Albertus Extra Bold" w:hAnsi="Albertus Extra Bold"/>
          <w:b/>
        </w:rPr>
        <w:t>]</w:t>
      </w:r>
      <w:r>
        <w:t xml:space="preserve"> </w:t>
      </w:r>
      <w:r>
        <w:rPr>
          <w:u w:val="single"/>
        </w:rPr>
        <w:t>turbine electricity generation facility or the open access offshore wind transmission facility demonstrates its ability to transmit electricity generated by interconnected offshore wind turbine electricity generation facilities in the Atlantic Ocean to the transmission system in the State</w:t>
      </w:r>
      <w:r>
        <w:t xml:space="preserve"> ;</w:t>
      </w:r>
    </w:p>
    <w:p w:rsidR="00711963" w:rsidRDefault="00711963" w:rsidP="00711963">
      <w:r>
        <w:tab/>
        <w:t>(2)</w:t>
      </w:r>
      <w:r>
        <w:tab/>
        <w:t xml:space="preserve">ORECs shall be paid on the actual electrical output of </w:t>
      </w:r>
      <w:r w:rsidRPr="00A92CAE">
        <w:rPr>
          <w:rFonts w:ascii="Albertus Extra Bold" w:hAnsi="Albertus Extra Bold"/>
          <w:b/>
        </w:rPr>
        <w:t>[</w:t>
      </w:r>
      <w:r>
        <w:t>the project that is</w:t>
      </w:r>
      <w:r w:rsidRPr="00A92CAE">
        <w:rPr>
          <w:rFonts w:ascii="Albertus Extra Bold" w:hAnsi="Albertus Extra Bold"/>
          <w:b/>
        </w:rPr>
        <w:t>]</w:t>
      </w:r>
      <w:r>
        <w:t xml:space="preserve"> </w:t>
      </w:r>
      <w:r w:rsidRPr="00A92CAE">
        <w:rPr>
          <w:u w:val="single"/>
        </w:rPr>
        <w:t>an offshore wind turbine electric</w:t>
      </w:r>
      <w:r>
        <w:rPr>
          <w:u w:val="single"/>
        </w:rPr>
        <w:t>ity</w:t>
      </w:r>
      <w:r w:rsidRPr="00A92CAE">
        <w:rPr>
          <w:u w:val="single"/>
        </w:rPr>
        <w:t xml:space="preserve"> generation facility</w:t>
      </w:r>
      <w:r>
        <w:t xml:space="preserve"> delivered into the transmission system of the State </w:t>
      </w:r>
      <w:r>
        <w:rPr>
          <w:u w:val="single"/>
        </w:rPr>
        <w:t>or transmission transfer capability of an open access offshore transmission facility into the transmission system of the State</w:t>
      </w:r>
      <w:r>
        <w:t xml:space="preserve"> ; </w:t>
      </w:r>
    </w:p>
    <w:p w:rsidR="00711963" w:rsidRDefault="00711963" w:rsidP="00711963">
      <w:r>
        <w:tab/>
        <w:t>(3) ratepayers and the State shall be held harmless for any cost overruns associated with the project; and</w:t>
      </w:r>
    </w:p>
    <w:p w:rsidR="00711963" w:rsidRDefault="00711963" w:rsidP="00711963">
      <w:r>
        <w:tab/>
        <w:t xml:space="preserve">(4) the applicant will reimburse the board and the State for all reasonable costs incurred for regulatory review of the project, including but not limited to consulting services, oversight, inspections, and audits.  </w:t>
      </w:r>
    </w:p>
    <w:p w:rsidR="00711963" w:rsidRDefault="00711963" w:rsidP="00711963">
      <w:r>
        <w:tab/>
        <w:t>An order issued by the board pursuant to this subsection shall specify the value of the OREC and the term of the order.</w:t>
      </w:r>
    </w:p>
    <w:p w:rsidR="00711963" w:rsidRDefault="00711963" w:rsidP="00711963">
      <w:r>
        <w:tab/>
        <w:t>An order issued by the board pursuant to this subsection shall not be modified by subsequent board orders, unless the modifications are jointly agreed to by the parties.</w:t>
      </w:r>
    </w:p>
    <w:p w:rsidR="00711963" w:rsidRDefault="00711963" w:rsidP="00711963">
      <w:r>
        <w:tab/>
        <w:t>d.</w:t>
      </w:r>
      <w:r>
        <w:tab/>
        <w:t>The board shall review and approve, conditionally approve, or deny an application submitted pursuant to this section within 180 days after the date a complete application is submitted to the board.</w:t>
      </w:r>
    </w:p>
    <w:p w:rsidR="00711963" w:rsidRDefault="00711963" w:rsidP="00711963">
      <w:r>
        <w:tab/>
      </w:r>
      <w:r>
        <w:rPr>
          <w:u w:val="single"/>
        </w:rPr>
        <w:t>e.</w:t>
      </w:r>
      <w:r>
        <w:rPr>
          <w:u w:val="single"/>
        </w:rPr>
        <w:tab/>
        <w:t>(1) Notwithstanding any provision of P.L.2010, c.57 (C.48:3-87.1 et al.) to the contrary, the board shall conduct one or more competitive solicitations for open access offshore wind transmission facilities and related interconnection facilities.  A competitive solicitation pursuant to this paragraph shall be conducted separately from any other solicitation for offshore wine turbine electricity generation facilities.</w:t>
      </w:r>
    </w:p>
    <w:p w:rsidR="00711963" w:rsidRDefault="00711963" w:rsidP="00711963">
      <w:pPr>
        <w:rPr>
          <w:u w:val="single"/>
        </w:rPr>
      </w:pPr>
      <w:r>
        <w:tab/>
      </w:r>
      <w:r>
        <w:rPr>
          <w:u w:val="single"/>
        </w:rPr>
        <w:t>(2) After conducting a competitive solicitation pursuant to paragraph (1) of this subsection, in considering an application for a qualified offshore wind project submitted pursuant to subsection a. of this section, the board shall evaluate the proposed open access offshore wind transmission facility and related interconnection facility separately from any proposed offshore wind turbine electricity generation facility.  After evaluation, the board may issue an order approving an application for a qualified offshore wind project that consists of:</w:t>
      </w:r>
    </w:p>
    <w:p w:rsidR="00711963" w:rsidRDefault="00711963" w:rsidP="00711963">
      <w:pPr>
        <w:rPr>
          <w:u w:val="single"/>
        </w:rPr>
      </w:pPr>
      <w:r w:rsidRPr="008D5C57">
        <w:lastRenderedPageBreak/>
        <w:tab/>
      </w:r>
      <w:r>
        <w:rPr>
          <w:u w:val="single"/>
        </w:rPr>
        <w:t>(a) an offshore wind turbine electricity generation facility only;</w:t>
      </w:r>
    </w:p>
    <w:p w:rsidR="00711963" w:rsidRDefault="00711963" w:rsidP="00711963">
      <w:pPr>
        <w:rPr>
          <w:u w:val="single"/>
        </w:rPr>
      </w:pPr>
      <w:r w:rsidRPr="008D5C57">
        <w:tab/>
      </w:r>
      <w:r>
        <w:rPr>
          <w:u w:val="single"/>
        </w:rPr>
        <w:t>(b) an open access offshore wind transmission facility, including related interconnection facilities, only; or</w:t>
      </w:r>
    </w:p>
    <w:p w:rsidR="00711963" w:rsidRDefault="00711963" w:rsidP="00711963">
      <w:pPr>
        <w:rPr>
          <w:u w:val="single"/>
        </w:rPr>
      </w:pPr>
      <w:r w:rsidRPr="008D5C57">
        <w:tab/>
      </w:r>
      <w:r>
        <w:rPr>
          <w:u w:val="single"/>
        </w:rPr>
        <w:t xml:space="preserve">(c) a combination of an </w:t>
      </w:r>
      <w:r w:rsidRPr="008D5C57">
        <w:rPr>
          <w:u w:val="single"/>
        </w:rPr>
        <w:t>offshore wind turbine electric</w:t>
      </w:r>
      <w:r>
        <w:rPr>
          <w:u w:val="single"/>
        </w:rPr>
        <w:t>ity</w:t>
      </w:r>
      <w:r w:rsidRPr="008D5C57">
        <w:rPr>
          <w:u w:val="single"/>
        </w:rPr>
        <w:t xml:space="preserve"> generation facility</w:t>
      </w:r>
      <w:r>
        <w:rPr>
          <w:u w:val="single"/>
        </w:rPr>
        <w:t xml:space="preserve"> and </w:t>
      </w:r>
      <w:r w:rsidRPr="008D5C57">
        <w:rPr>
          <w:u w:val="single"/>
        </w:rPr>
        <w:t>open access offshore wind transmission facility</w:t>
      </w:r>
      <w:r>
        <w:rPr>
          <w:u w:val="single"/>
        </w:rPr>
        <w:t xml:space="preserve">, </w:t>
      </w:r>
      <w:r w:rsidRPr="008D5C57">
        <w:rPr>
          <w:u w:val="single"/>
        </w:rPr>
        <w:t>including related interconnection facilities</w:t>
      </w:r>
      <w:r>
        <w:rPr>
          <w:u w:val="single"/>
        </w:rPr>
        <w:t>.</w:t>
      </w:r>
    </w:p>
    <w:p w:rsidR="00711963" w:rsidRPr="008D5C57" w:rsidRDefault="00711963" w:rsidP="00711963">
      <w:r w:rsidRPr="008D5C57">
        <w:tab/>
      </w:r>
      <w:r>
        <w:rPr>
          <w:u w:val="single"/>
        </w:rPr>
        <w:t>(3) Nothing in this subsection shall impact any board order approving an application for a qualified offshore wind project issued prior to the date of enactment of P.L.    , c.    (pending before the Legislature as this bill).</w:t>
      </w:r>
      <w:r w:rsidRPr="008D5C57">
        <w:t xml:space="preserve">  </w:t>
      </w:r>
    </w:p>
    <w:p w:rsidR="00711963" w:rsidRDefault="00A217D3" w:rsidP="00711963">
      <w:r>
        <w:t xml:space="preserve">(cf: </w:t>
      </w:r>
      <w:r w:rsidR="00711963">
        <w:t>P.L.2010, c.57, s.3)</w:t>
      </w:r>
    </w:p>
    <w:p w:rsidR="00711963" w:rsidRPr="00D71D68" w:rsidRDefault="00711963" w:rsidP="00711963"/>
    <w:p w:rsidR="00711963" w:rsidRDefault="00711963" w:rsidP="00711963">
      <w:r>
        <w:tab/>
        <w:t>3.</w:t>
      </w:r>
      <w:r>
        <w:tab/>
        <w:t>This act shall take effect immediately.</w:t>
      </w:r>
    </w:p>
    <w:p w:rsidR="00711963" w:rsidRPr="00AA7880" w:rsidRDefault="00711963" w:rsidP="00711963"/>
    <w:p w:rsidR="00711963" w:rsidRPr="00CE7BD8" w:rsidRDefault="00711963" w:rsidP="00711963"/>
    <w:p w:rsidR="00711963" w:rsidRPr="00AA7880" w:rsidRDefault="00711963" w:rsidP="00711963">
      <w:pPr>
        <w:jc w:val="center"/>
      </w:pPr>
      <w:r w:rsidRPr="00D71D68">
        <w:t>STATEMENT</w:t>
      </w:r>
    </w:p>
    <w:p w:rsidR="00711963" w:rsidRDefault="00711963" w:rsidP="00711963"/>
    <w:p w:rsidR="00711963" w:rsidRDefault="00711963" w:rsidP="00711963">
      <w:r>
        <w:tab/>
        <w:t xml:space="preserve">This bill amends P.L.2010, c.57 (C.48:3-87.1 et al.), the law commonly referred to as the </w:t>
      </w:r>
      <w:r w:rsidRPr="000F1F08">
        <w:t>"</w:t>
      </w:r>
      <w:r>
        <w:t>Offshore Wind Economic Development Act,</w:t>
      </w:r>
      <w:r w:rsidRPr="000F1F08">
        <w:t>"</w:t>
      </w:r>
      <w:r>
        <w:t xml:space="preserve"> concerning the development of offshore wind projects.  The bill also amends the definition section of the </w:t>
      </w:r>
      <w:r w:rsidRPr="00064C7F">
        <w:t>"Electric Discount and Energy Competition Act," P.L.1999,</w:t>
      </w:r>
      <w:r w:rsidR="00A217D3">
        <w:t> </w:t>
      </w:r>
      <w:r w:rsidRPr="00064C7F">
        <w:t>c.23</w:t>
      </w:r>
      <w:r w:rsidR="00A217D3">
        <w:t> </w:t>
      </w:r>
      <w:r w:rsidRPr="00064C7F">
        <w:t>(C.48:3-49</w:t>
      </w:r>
      <w:r w:rsidR="00A217D3">
        <w:t> </w:t>
      </w:r>
      <w:r w:rsidRPr="00064C7F">
        <w:t>et</w:t>
      </w:r>
      <w:r w:rsidR="00A217D3">
        <w:t> </w:t>
      </w:r>
      <w:r w:rsidRPr="00064C7F">
        <w:t>al.).</w:t>
      </w:r>
    </w:p>
    <w:p w:rsidR="00711963" w:rsidRDefault="00711963" w:rsidP="00711963">
      <w:r>
        <w:tab/>
        <w:t xml:space="preserve">Current law defines </w:t>
      </w:r>
      <w:r w:rsidRPr="000F1F08">
        <w:t>"</w:t>
      </w:r>
      <w:r>
        <w:t>qualified offshore wind project</w:t>
      </w:r>
      <w:r w:rsidRPr="000F1F08">
        <w:t>"</w:t>
      </w:r>
      <w:r>
        <w:t xml:space="preserve"> to mean </w:t>
      </w:r>
      <w:r w:rsidRPr="00142581">
        <w:t xml:space="preserve">a wind turbine electricity generation facility in the Atlantic Ocean and connected to the electric transmission system in this State, and includes the associated transmission-related interconnection facilities and equipment, and approved by the </w:t>
      </w:r>
      <w:r>
        <w:t xml:space="preserve">Board of Public Utilities (BPU) pursuant to law.  This bill would expand this definition to also include open access offshore wind transmission facilities.  This bill would define </w:t>
      </w:r>
      <w:r w:rsidRPr="000F1F08">
        <w:t>"</w:t>
      </w:r>
      <w:r w:rsidRPr="00142581">
        <w:t>open access offsh</w:t>
      </w:r>
      <w:r>
        <w:t>ore wind transmission facility</w:t>
      </w:r>
      <w:r w:rsidRPr="000F1F08">
        <w:t>"</w:t>
      </w:r>
      <w:r>
        <w:t xml:space="preserve"> as </w:t>
      </w:r>
      <w:r w:rsidRPr="00142581">
        <w:t>a high voltage transmission facility that conforms to applicable Federal Energy Regulatory Commission</w:t>
      </w:r>
      <w:r>
        <w:t xml:space="preserve"> (</w:t>
      </w:r>
      <w:r w:rsidRPr="00142581">
        <w:t>FERC</w:t>
      </w:r>
      <w:r>
        <w:t>)</w:t>
      </w:r>
      <w:r w:rsidRPr="00142581">
        <w:t xml:space="preserve"> regulations and policies regarding open access transmission, including but not limited to FERC regulations and policies relating to allocation of transmission capacity and open access, the provision of transmission and related transmission interconnection services pursuant to a FERC-approved or FERC-accepted Open Access Transmission Tariff, the justness and reasonableness of rates for such transmission and related interconnection services, the potential for undue preference or discrimination, and affiliate dealings, if any.</w:t>
      </w:r>
    </w:p>
    <w:p w:rsidR="00711963" w:rsidRDefault="00711963" w:rsidP="00711963">
      <w:r>
        <w:tab/>
        <w:t xml:space="preserve">This bill would also expand the definition of an </w:t>
      </w:r>
      <w:r w:rsidRPr="00142581">
        <w:t>"</w:t>
      </w:r>
      <w:r>
        <w:t>o</w:t>
      </w:r>
      <w:r w:rsidRPr="00142581">
        <w:t xml:space="preserve">ffshore wind renewable energy certificate" or "OREC" </w:t>
      </w:r>
      <w:r>
        <w:t xml:space="preserve">to include the </w:t>
      </w:r>
      <w:r w:rsidRPr="00142581">
        <w:t>environmental attributes equivalent to one megawatt of electric transmission transfer capability from a qualified offshore wind project.</w:t>
      </w:r>
    </w:p>
    <w:p w:rsidR="00711963" w:rsidRDefault="00711963" w:rsidP="00711963">
      <w:r>
        <w:lastRenderedPageBreak/>
        <w:tab/>
        <w:t xml:space="preserve">The bill would also amend the law concerning the approval of </w:t>
      </w:r>
      <w:r w:rsidRPr="00A52EF6">
        <w:t>qualified offshore wind project</w:t>
      </w:r>
      <w:r>
        <w:t xml:space="preserve">s to include </w:t>
      </w:r>
      <w:r w:rsidRPr="00064C7F">
        <w:t>open access off</w:t>
      </w:r>
      <w:r>
        <w:t>shore wind transmission facilities, and directs the BPU to</w:t>
      </w:r>
      <w:r w:rsidRPr="00A52EF6">
        <w:t xml:space="preserve"> conduct one or more competitive solicitations for open access offshore wind transmission facilities and related interconnection facilities.  </w:t>
      </w:r>
    </w:p>
    <w:sectPr w:rsidR="00711963" w:rsidSect="00A217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654" w:rsidRDefault="00E44654">
      <w:r>
        <w:separator/>
      </w:r>
    </w:p>
  </w:endnote>
  <w:endnote w:type="continuationSeparator" w:id="0">
    <w:p w:rsidR="00E44654" w:rsidRDefault="00E44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7D3" w:rsidRDefault="00A217D3">
    <w:pPr>
      <w:pStyle w:val="Footer"/>
      <w:rPr>
        <w:szCs w:val="18"/>
      </w:rPr>
    </w:pPr>
  </w:p>
  <w:p w:rsidR="00A217D3" w:rsidRPr="00921C91" w:rsidRDefault="00A217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17D3" w:rsidRPr="00921C91" w:rsidRDefault="00A217D3">
    <w:pPr>
      <w:pStyle w:val="Footer"/>
      <w:rPr>
        <w:szCs w:val="18"/>
      </w:rPr>
    </w:pPr>
  </w:p>
  <w:p w:rsidR="00A217D3" w:rsidRPr="00921C91" w:rsidRDefault="00A217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654" w:rsidRDefault="00E44654">
      <w:r>
        <w:separator/>
      </w:r>
    </w:p>
  </w:footnote>
  <w:footnote w:type="continuationSeparator" w:id="0">
    <w:p w:rsidR="00E44654" w:rsidRDefault="00E44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27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190859">
    <w:pPr>
      <w:pStyle w:val="Header"/>
      <w:rPr>
        <w:sz w:val="22"/>
        <w:szCs w:val="22"/>
      </w:rPr>
    </w:pPr>
    <w:r w:rsidRPr="00190859">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190859">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0859" w:rsidP="000D6DFF">
    <w:pPr>
      <w:pStyle w:val="Header"/>
      <w:jc w:val="center"/>
      <w:rPr>
        <w:rStyle w:val="PageNumber"/>
      </w:rPr>
    </w:pPr>
    <w:r w:rsidRPr="00190859">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217D3" w:rsidRDefault="00A217D3" w:rsidP="00A217D3">
    <w:pPr>
      <w:pStyle w:val="bpuHeadSpon"/>
    </w:pPr>
    <w:r w:rsidRPr="00A217D3">
      <w:rPr>
        <w:rStyle w:val="bpuHeadSponChar"/>
      </w:rPr>
      <w:t>A2219</w:t>
    </w:r>
    <w:r>
      <w:t xml:space="preserve"> MCKEON, </w:t>
    </w:r>
    <w:r w:rsidR="00116353">
      <w:t>VAINIERI HUTTLE</w:t>
    </w:r>
  </w:p>
  <w:p w:rsidR="00A217D3" w:rsidRDefault="00A217D3" w:rsidP="00A217D3">
    <w:pPr>
      <w:pStyle w:val="bpuHeadSpon"/>
    </w:pPr>
    <w:r>
      <w:fldChar w:fldCharType="begin"/>
    </w:r>
    <w:r>
      <w:instrText xml:space="preserve"> PAGE  \* MERGEFORMAT </w:instrText>
    </w:r>
    <w:r>
      <w:fldChar w:fldCharType="separate"/>
    </w:r>
    <w:r w:rsidR="003E27FC">
      <w:rPr>
        <w:noProof/>
      </w:rPr>
      <w:t>3</w:t>
    </w:r>
    <w:r>
      <w:fldChar w:fldCharType="end"/>
    </w:r>
  </w:p>
  <w:p w:rsidR="00A217D3" w:rsidRPr="00AF575C" w:rsidRDefault="00A217D3" w:rsidP="00A217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0859">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217D3" w:rsidRDefault="00A217D3" w:rsidP="00A217D3">
    <w:pPr>
      <w:pStyle w:val="bpuHeadSpon"/>
    </w:pPr>
    <w:r w:rsidRPr="00A217D3">
      <w:rPr>
        <w:rStyle w:val="bpuHeadSponChar"/>
      </w:rPr>
      <w:t>A2219</w:t>
    </w:r>
    <w:r>
      <w:t xml:space="preserve"> MCKEON, </w:t>
    </w:r>
    <w:r w:rsidR="00116353">
      <w:t>VAINIERI HUTTLE</w:t>
    </w:r>
  </w:p>
  <w:p w:rsidR="00A217D3" w:rsidRDefault="00A217D3" w:rsidP="00A217D3">
    <w:pPr>
      <w:pStyle w:val="bpuHeadSpon"/>
    </w:pPr>
    <w:r>
      <w:fldChar w:fldCharType="begin"/>
    </w:r>
    <w:r>
      <w:instrText xml:space="preserve"> PAGE  \* MERGEFORMAT </w:instrText>
    </w:r>
    <w:r>
      <w:fldChar w:fldCharType="separate"/>
    </w:r>
    <w:r w:rsidR="003E27FC">
      <w:rPr>
        <w:noProof/>
      </w:rPr>
      <w:t>2</w:t>
    </w:r>
    <w:r>
      <w:fldChar w:fldCharType="end"/>
    </w:r>
  </w:p>
  <w:p w:rsidR="00A217D3" w:rsidRDefault="00A217D3" w:rsidP="00A217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5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353"/>
    <w:rsid w:val="00122532"/>
    <w:rsid w:val="001316C3"/>
    <w:rsid w:val="001330F6"/>
    <w:rsid w:val="00133BED"/>
    <w:rsid w:val="00136CE2"/>
    <w:rsid w:val="00140A92"/>
    <w:rsid w:val="00140FD3"/>
    <w:rsid w:val="00143A99"/>
    <w:rsid w:val="00150A42"/>
    <w:rsid w:val="00153466"/>
    <w:rsid w:val="001540B7"/>
    <w:rsid w:val="00156AE5"/>
    <w:rsid w:val="00171CC6"/>
    <w:rsid w:val="001762FB"/>
    <w:rsid w:val="00182504"/>
    <w:rsid w:val="00186D54"/>
    <w:rsid w:val="0019085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98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7FC"/>
    <w:rsid w:val="003E3338"/>
    <w:rsid w:val="003E7B4E"/>
    <w:rsid w:val="003F145F"/>
    <w:rsid w:val="003F4A22"/>
    <w:rsid w:val="004040F9"/>
    <w:rsid w:val="00406A85"/>
    <w:rsid w:val="0041453D"/>
    <w:rsid w:val="0041712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F12"/>
    <w:rsid w:val="006F4C44"/>
    <w:rsid w:val="006F652B"/>
    <w:rsid w:val="0070018A"/>
    <w:rsid w:val="0071196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51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7D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87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ED8"/>
    <w:rsid w:val="00DF4E47"/>
    <w:rsid w:val="00E0012A"/>
    <w:rsid w:val="00E025E4"/>
    <w:rsid w:val="00E03582"/>
    <w:rsid w:val="00E05DFC"/>
    <w:rsid w:val="00E33D7F"/>
    <w:rsid w:val="00E4465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74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87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B002AD-91F0-40DD-AB3B-6E13188B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17D3"/>
  </w:style>
  <w:style w:type="paragraph" w:styleId="BalloonText">
    <w:name w:val="Balloon Text"/>
    <w:basedOn w:val="Normal"/>
    <w:link w:val="BalloonTextChar"/>
    <w:semiHidden/>
    <w:unhideWhenUsed/>
    <w:rsid w:val="003E27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27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ABD7C-8382-4EEB-BB8F-C80ADEC59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8685</Words>
  <Characters>49358</Characters>
  <Application>Microsoft Office Word</Application>
  <DocSecurity>0</DocSecurity>
  <Lines>988</Lines>
  <Paragraphs>180</Paragraphs>
  <ScaleCrop>false</ScaleCrop>
  <HeadingPairs>
    <vt:vector size="2" baseType="variant">
      <vt:variant>
        <vt:lpstr>Title</vt:lpstr>
      </vt:variant>
      <vt:variant>
        <vt:i4>1</vt:i4>
      </vt:variant>
    </vt:vector>
  </HeadingPairs>
  <TitlesOfParts>
    <vt:vector size="1" baseType="lpstr">
      <vt:lpstr>A2219</vt:lpstr>
    </vt:vector>
  </TitlesOfParts>
  <Manager>R224</Manager>
  <Company>OFFICE of LEGISLATIVE SERVICES</Company>
  <LinksUpToDate>false</LinksUpToDate>
  <CharactersWithSpaces>58085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A2219</dc:title>
  <dc:creator>Assemblyman  MCKEON, Assemblywoman  PINKIN</dc:creator>
  <cp:keywords>A2219|22|JU |284|0|0|!|0|</cp:keywords>
  <dc:description>PREFILED 2020</dc:description>
  <cp:lastModifiedBy>Sommers, Shelly</cp:lastModifiedBy>
  <cp:revision>2</cp:revision>
  <cp:lastPrinted>2021-03-01T17:01:00Z</cp:lastPrinted>
  <dcterms:created xsi:type="dcterms:W3CDTF">2021-03-01T17:01:00Z</dcterms:created>
  <dcterms:modified xsi:type="dcterms:W3CDTF">2021-03-01T17:01:00Z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