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7BA" w:rsidRDefault="00C327BA" w:rsidP="00C327BA">
      <w:pPr>
        <w:pStyle w:val="bpuBill"/>
      </w:pPr>
      <w:bookmarkStart w:id="0" w:name="bpuFrontPg"/>
      <w:bookmarkStart w:id="1" w:name="_GoBack"/>
      <w:bookmarkEnd w:id="0"/>
      <w:bookmarkEnd w:id="1"/>
      <w:r>
        <w:t xml:space="preserve">ASSEMBLY, No. 2234 </w:t>
      </w:r>
    </w:p>
    <w:p w:rsidR="00C327BA" w:rsidRPr="00C327BA" w:rsidRDefault="00C327BA" w:rsidP="00C327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183" r:id="rId8"/>
        </w:object>
      </w:r>
    </w:p>
    <w:p w:rsidR="00C327BA" w:rsidRDefault="00C327BA" w:rsidP="00C327BA">
      <w:pPr>
        <w:pStyle w:val="bpuState"/>
      </w:pPr>
      <w:r>
        <w:t>STATE OF NEW JERSEY</w:t>
      </w:r>
    </w:p>
    <w:p w:rsidR="00C327BA" w:rsidRDefault="00C327BA" w:rsidP="00C327BA">
      <w:pPr>
        <w:pStyle w:val="bpuLegislature"/>
      </w:pPr>
      <w:r>
        <w:t>219th LEGISLATURE</w:t>
      </w:r>
    </w:p>
    <w:p w:rsidR="00C327BA" w:rsidRDefault="00C327BA" w:rsidP="00C327BA">
      <w:pPr>
        <w:pStyle w:val="bpuWpGraphic"/>
      </w:pPr>
      <w:r>
        <w:object w:dxaOrig="8985" w:dyaOrig="255">
          <v:shape id="_x0000_i1026" type="#_x0000_t75" style="width:6in;height:12pt" o:ole="">
            <v:imagedata r:id="rId7" o:title=""/>
          </v:shape>
          <o:OLEObject Type="Embed" ProgID="WPWin6.1" ShapeID="_x0000_i1026" DrawAspect="Content" ObjectID="_1640271184" r:id="rId9"/>
        </w:object>
      </w:r>
      <w:r>
        <w:t xml:space="preserve">  </w:t>
      </w:r>
    </w:p>
    <w:p w:rsidR="00C327BA" w:rsidRDefault="00C327BA" w:rsidP="00C327BA">
      <w:pPr>
        <w:pStyle w:val="bpuIntro"/>
      </w:pPr>
      <w:r>
        <w:t>PRE-FILED FOR INTRODUCTION IN THE 2020 SESSION</w:t>
      </w:r>
    </w:p>
    <w:p w:rsidR="00C327BA" w:rsidRDefault="00C327BA" w:rsidP="00C327BA">
      <w:pPr>
        <w:pStyle w:val="bpuIntro"/>
      </w:pPr>
    </w:p>
    <w:p w:rsidR="00C327BA" w:rsidRDefault="00C327BA" w:rsidP="00C327BA">
      <w:pPr>
        <w:pStyle w:val="bpuIntro"/>
        <w:sectPr w:rsidR="00C327BA" w:rsidSect="00C327BA">
          <w:headerReference w:type="even" r:id="rId10"/>
          <w:headerReference w:type="default" r:id="rId11"/>
          <w:pgSz w:w="12240" w:h="20160" w:code="5"/>
          <w:pgMar w:top="2160" w:right="1440" w:bottom="1440" w:left="1440" w:header="720" w:footer="720" w:gutter="0"/>
          <w:pgNumType w:start="1"/>
          <w:cols w:space="720"/>
          <w:docGrid w:linePitch="360"/>
        </w:sectPr>
      </w:pPr>
    </w:p>
    <w:p w:rsidR="00C327BA" w:rsidRDefault="00C327BA" w:rsidP="00C327BA">
      <w:pPr>
        <w:pStyle w:val="bpuIntro"/>
      </w:pPr>
    </w:p>
    <w:p w:rsidR="00C327BA" w:rsidRDefault="00C327BA" w:rsidP="00C327BA">
      <w:pPr>
        <w:pStyle w:val="bpuSponsor"/>
      </w:pPr>
      <w:r>
        <w:t>Sponsored by:</w:t>
      </w:r>
    </w:p>
    <w:p w:rsidR="00C327BA" w:rsidRDefault="00C327BA" w:rsidP="00C327BA">
      <w:pPr>
        <w:pStyle w:val="bpuSponsor"/>
      </w:pPr>
      <w:r>
        <w:t>Assemblyman  RONALD S. DANCER</w:t>
      </w:r>
    </w:p>
    <w:p w:rsidR="00C327BA" w:rsidRDefault="00C327BA" w:rsidP="00C327BA">
      <w:pPr>
        <w:pStyle w:val="bpuSponsor"/>
      </w:pPr>
      <w:r>
        <w:t>District 12 (Burlington, Middlesex, Monmouth and Ocean)</w:t>
      </w:r>
    </w:p>
    <w:p w:rsidR="00C327BA" w:rsidRDefault="00C327BA" w:rsidP="00C327BA">
      <w:pPr>
        <w:pStyle w:val="bpuSponsor"/>
      </w:pPr>
      <w:r>
        <w:t>Assemblywoman  VALERIE VAINIERI HUTTLE</w:t>
      </w:r>
    </w:p>
    <w:p w:rsidR="00C327BA" w:rsidRDefault="00C327BA" w:rsidP="00C327BA">
      <w:pPr>
        <w:pStyle w:val="bpuSponsor"/>
      </w:pPr>
      <w:r>
        <w:t>District 37 (Bergen)</w:t>
      </w:r>
    </w:p>
    <w:p w:rsidR="00C327BA" w:rsidRDefault="00C327BA" w:rsidP="00C327BA">
      <w:pPr>
        <w:pStyle w:val="bpuSponsor"/>
      </w:pPr>
      <w:r>
        <w:t>Assemblywoman  JOANN DOWNEY</w:t>
      </w:r>
    </w:p>
    <w:p w:rsidR="00C327BA" w:rsidRDefault="00C327BA" w:rsidP="00C327BA">
      <w:pPr>
        <w:pStyle w:val="bpuSponsor"/>
      </w:pPr>
      <w:r>
        <w:t>District 11 (Monmouth)</w:t>
      </w:r>
    </w:p>
    <w:p w:rsidR="00C327BA" w:rsidRDefault="00C327BA" w:rsidP="00C327BA">
      <w:pPr>
        <w:pStyle w:val="bpuSponsor"/>
      </w:pPr>
    </w:p>
    <w:p w:rsidR="00C327BA" w:rsidRDefault="00C327BA" w:rsidP="00C327BA">
      <w:pPr>
        <w:pStyle w:val="bpuSponsor"/>
      </w:pPr>
    </w:p>
    <w:p w:rsidR="00C327BA" w:rsidRDefault="00C327BA" w:rsidP="00C327BA">
      <w:pPr>
        <w:pStyle w:val="bpuSponsor"/>
      </w:pPr>
    </w:p>
    <w:p w:rsidR="00C327BA" w:rsidRDefault="00C327BA" w:rsidP="00C327BA">
      <w:pPr>
        <w:pStyle w:val="bpuSponsor"/>
      </w:pPr>
    </w:p>
    <w:p w:rsidR="00C327BA" w:rsidRDefault="00C327BA" w:rsidP="00C327BA">
      <w:pPr>
        <w:pStyle w:val="bpuSponsor"/>
      </w:pPr>
      <w:r>
        <w:t>SYNOPSIS</w:t>
      </w:r>
    </w:p>
    <w:p w:rsidR="00C327BA" w:rsidRDefault="00C327BA" w:rsidP="00C327BA">
      <w:pPr>
        <w:pStyle w:val="bpuNormText"/>
      </w:pPr>
      <w:r>
        <w:tab/>
        <w:t xml:space="preserve">Eliminates phrase “born out of wedlock” from statutes concerning legal settlement; revises law for determining a minor’s county of legal settlement. </w:t>
      </w:r>
    </w:p>
    <w:p w:rsidR="00C327BA" w:rsidRDefault="00C327BA" w:rsidP="00C327BA">
      <w:pPr>
        <w:pStyle w:val="bpuNormText"/>
      </w:pPr>
    </w:p>
    <w:p w:rsidR="00C327BA" w:rsidRDefault="00C327BA" w:rsidP="00C327BA">
      <w:pPr>
        <w:pStyle w:val="bpuSponsor"/>
      </w:pPr>
      <w:r>
        <w:t xml:space="preserve">CURRENT VERSION OF TEXT </w:t>
      </w:r>
    </w:p>
    <w:p w:rsidR="00C327BA" w:rsidRDefault="00C327BA" w:rsidP="00C327BA">
      <w:pPr>
        <w:pStyle w:val="bpuNormText"/>
      </w:pPr>
      <w:r>
        <w:tab/>
        <w:t>Introduced Pending Technical Review by Legislative Counsel.</w:t>
      </w:r>
    </w:p>
    <w:p w:rsidR="00C327BA" w:rsidRDefault="00C327BA" w:rsidP="00C327B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327BA" w:rsidRDefault="00C327B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327BA" w:rsidSect="00C327BA">
          <w:type w:val="continuous"/>
          <w:pgSz w:w="12240" w:h="20160" w:code="5"/>
          <w:pgMar w:top="2160" w:right="2275" w:bottom="1440" w:left="2275" w:header="72" w:footer="720" w:gutter="0"/>
          <w:pgNumType w:start="1"/>
          <w:cols w:space="720"/>
          <w:docGrid w:linePitch="360"/>
        </w:sectPr>
      </w:pPr>
    </w:p>
    <w:p w:rsidR="00BC3D8E" w:rsidRPr="00677316" w:rsidRDefault="00BC3D8E" w:rsidP="00BC3D8E">
      <w:pPr>
        <w:pStyle w:val="HangingAnAct"/>
        <w:rPr>
          <w:rStyle w:val="HangingAnActChar"/>
        </w:rPr>
      </w:pPr>
      <w:r w:rsidRPr="00BC3D8E">
        <w:rPr>
          <w:rStyle w:val="BillHead"/>
        </w:rPr>
        <w:lastRenderedPageBreak/>
        <w:t>An Act</w:t>
      </w:r>
      <w:r w:rsidRPr="006B7FA7">
        <w:rPr>
          <w:rStyle w:val="HangingAnActChar"/>
        </w:rPr>
        <w:t xml:space="preserve"> </w:t>
      </w:r>
      <w:r>
        <w:t>concerning determination of a minor’s county of settlement, amending P.L.1965, c.59, and repealing section 3 of P.L.1965, c.59.</w:t>
      </w:r>
    </w:p>
    <w:p w:rsidR="00BC3D8E" w:rsidRDefault="00BC3D8E" w:rsidP="00BC3D8E"/>
    <w:p w:rsidR="00BC3D8E" w:rsidRDefault="00BC3D8E" w:rsidP="00BC3D8E">
      <w:r>
        <w:tab/>
        <w:t>1.</w:t>
      </w:r>
      <w:r>
        <w:tab/>
        <w:t>Section 38 of P.L.1965, c.59 (C.30:4-49.2) is amended to read as follows:</w:t>
      </w:r>
    </w:p>
    <w:p w:rsidR="00BC3D8E" w:rsidRDefault="00BC3D8E" w:rsidP="00BC3D8E">
      <w:r>
        <w:tab/>
        <w:t>38.</w:t>
      </w:r>
      <w:r>
        <w:tab/>
        <w:t xml:space="preserve">The settlement of a minor </w:t>
      </w:r>
      <w:r w:rsidRPr="00E45C49">
        <w:rPr>
          <w:rFonts w:ascii="Albertus Extra Bold" w:hAnsi="Albertus Extra Bold"/>
          <w:b/>
        </w:rPr>
        <w:t>[</w:t>
      </w:r>
      <w:r>
        <w:t>born in wedlock</w:t>
      </w:r>
      <w:r w:rsidRPr="00E45C49">
        <w:rPr>
          <w:rFonts w:ascii="Albertus Extra Bold" w:hAnsi="Albertus Extra Bold"/>
          <w:b/>
        </w:rPr>
        <w:t>]</w:t>
      </w:r>
      <w:r>
        <w:t xml:space="preserve"> shall be that of his parents </w:t>
      </w:r>
      <w:r w:rsidRPr="00193D82">
        <w:rPr>
          <w:rFonts w:ascii="Albertus Extra Bold" w:hAnsi="Albertus Extra Bold"/>
          <w:b/>
        </w:rPr>
        <w:t>[</w:t>
      </w:r>
      <w:r>
        <w:t>or surviving parent</w:t>
      </w:r>
      <w:r w:rsidRPr="000364CB">
        <w:rPr>
          <w:rFonts w:ascii="Albertus Extra Bold" w:hAnsi="Albertus Extra Bold"/>
          <w:b/>
        </w:rPr>
        <w:t>]</w:t>
      </w:r>
      <w:r>
        <w:t xml:space="preserve"> </w:t>
      </w:r>
      <w:r>
        <w:rPr>
          <w:u w:val="single"/>
        </w:rPr>
        <w:t>;</w:t>
      </w:r>
      <w:r w:rsidRPr="000364CB">
        <w:t xml:space="preserve"> </w:t>
      </w:r>
      <w:r>
        <w:t xml:space="preserve">or in case of </w:t>
      </w:r>
      <w:r w:rsidRPr="000364CB">
        <w:rPr>
          <w:rFonts w:ascii="Albertus Extra Bold" w:hAnsi="Albertus Extra Bold"/>
          <w:b/>
        </w:rPr>
        <w:t>[</w:t>
      </w:r>
      <w:r>
        <w:t>divorce or separation</w:t>
      </w:r>
      <w:r w:rsidRPr="00193D82">
        <w:rPr>
          <w:rFonts w:ascii="Albertus Extra Bold" w:hAnsi="Albertus Extra Bold"/>
          <w:b/>
        </w:rPr>
        <w:t>]</w:t>
      </w:r>
      <w:r>
        <w:t xml:space="preserve"> </w:t>
      </w:r>
      <w:r>
        <w:rPr>
          <w:u w:val="single"/>
        </w:rPr>
        <w:t>parents who do not share the same settlement</w:t>
      </w:r>
      <w:r>
        <w:t xml:space="preserve">, of the parent having his </w:t>
      </w:r>
      <w:r>
        <w:rPr>
          <w:u w:val="single"/>
        </w:rPr>
        <w:t>sole</w:t>
      </w:r>
      <w:r w:rsidRPr="008F44A4">
        <w:t xml:space="preserve"> </w:t>
      </w:r>
      <w:r>
        <w:t xml:space="preserve">custody </w:t>
      </w:r>
      <w:r w:rsidRPr="008F44A4">
        <w:rPr>
          <w:u w:val="single"/>
        </w:rPr>
        <w:t xml:space="preserve">or </w:t>
      </w:r>
      <w:r>
        <w:rPr>
          <w:u w:val="single"/>
        </w:rPr>
        <w:t>having joint custody and with whom the minor most often resides</w:t>
      </w:r>
      <w:r>
        <w:t xml:space="preserve">.  In the case of the death of </w:t>
      </w:r>
      <w:r w:rsidRPr="008F44A4">
        <w:rPr>
          <w:rFonts w:ascii="Albertus Extra Bold" w:hAnsi="Albertus Extra Bold"/>
          <w:b/>
        </w:rPr>
        <w:t>[</w:t>
      </w:r>
      <w:r>
        <w:t>the</w:t>
      </w:r>
      <w:r w:rsidRPr="008F44A4">
        <w:rPr>
          <w:rFonts w:ascii="Albertus Extra Bold" w:hAnsi="Albertus Extra Bold"/>
          <w:b/>
        </w:rPr>
        <w:t>]</w:t>
      </w:r>
      <w:r>
        <w:t xml:space="preserve"> </w:t>
      </w:r>
      <w:r>
        <w:rPr>
          <w:u w:val="single"/>
        </w:rPr>
        <w:t>a</w:t>
      </w:r>
      <w:r>
        <w:t xml:space="preserve"> parent </w:t>
      </w:r>
      <w:r w:rsidRPr="008F44A4">
        <w:rPr>
          <w:rFonts w:ascii="Albertus Extra Bold" w:hAnsi="Albertus Extra Bold"/>
          <w:b/>
        </w:rPr>
        <w:t>[</w:t>
      </w:r>
      <w:r>
        <w:t>having custody</w:t>
      </w:r>
      <w:r w:rsidRPr="008F44A4">
        <w:rPr>
          <w:rFonts w:ascii="Albertus Extra Bold" w:hAnsi="Albertus Extra Bold"/>
          <w:b/>
        </w:rPr>
        <w:t>]</w:t>
      </w:r>
      <w:r>
        <w:t>, the settlement shall be that of the surviving parent.  In case of the death of both parents or in case of permanent separation from his parents by court order or by surrender of custody by an instrument in writing in accordance with law, the settlement of such minor at the time of such death or separation shall continue until his majority unless he shall gain a separate settlement as hereinafter provided.</w:t>
      </w:r>
    </w:p>
    <w:p w:rsidR="00BC3D8E" w:rsidRDefault="00BC3D8E" w:rsidP="00BC3D8E">
      <w:r>
        <w:t>(</w:t>
      </w:r>
      <w:proofErr w:type="spellStart"/>
      <w:r>
        <w:t>cf</w:t>
      </w:r>
      <w:proofErr w:type="spellEnd"/>
      <w:r>
        <w:t>: P.L.1965, c.59, s.38)</w:t>
      </w:r>
    </w:p>
    <w:p w:rsidR="00BC3D8E" w:rsidRDefault="00BC3D8E" w:rsidP="00BC3D8E"/>
    <w:p w:rsidR="00BC3D8E" w:rsidRDefault="00BC3D8E" w:rsidP="00BC3D8E">
      <w:r>
        <w:tab/>
        <w:t>2.</w:t>
      </w:r>
      <w:r>
        <w:tab/>
        <w:t>Section 39 of P.L.1965, c.59 (C.30:4-49.3) is repealed.</w:t>
      </w:r>
    </w:p>
    <w:p w:rsidR="00BC3D8E" w:rsidRDefault="00BC3D8E" w:rsidP="00BC3D8E"/>
    <w:p w:rsidR="00BC3D8E" w:rsidRPr="00AA7880" w:rsidRDefault="00BC3D8E" w:rsidP="00BC3D8E">
      <w:r>
        <w:tab/>
        <w:t>3.</w:t>
      </w:r>
      <w:r>
        <w:tab/>
        <w:t>This act shall take effect immediately.</w:t>
      </w:r>
    </w:p>
    <w:p w:rsidR="00BC3D8E" w:rsidRDefault="00BC3D8E" w:rsidP="00BC3D8E"/>
    <w:p w:rsidR="00BC3D8E" w:rsidRPr="00CE7BD8" w:rsidRDefault="00BC3D8E" w:rsidP="00BC3D8E"/>
    <w:p w:rsidR="00BC3D8E" w:rsidRPr="00AA7880" w:rsidRDefault="00BC3D8E" w:rsidP="00BC3D8E">
      <w:pPr>
        <w:jc w:val="center"/>
      </w:pPr>
      <w:r w:rsidRPr="00D71D68">
        <w:t>STATEMENT</w:t>
      </w:r>
    </w:p>
    <w:p w:rsidR="00BC3D8E" w:rsidRDefault="00BC3D8E" w:rsidP="00BC3D8E"/>
    <w:p w:rsidR="00BC3D8E" w:rsidRDefault="00BC3D8E" w:rsidP="00BC3D8E">
      <w:r>
        <w:tab/>
        <w:t>This bill eliminates disparities in the way that a county adjuster determines a minor child’s county of legal settlement based on the marital status of a minor’s parents at the time of birth.  Current statute provides that a minor born “out of wedlock” has the same legal settlement as his mother.  It is the sponsor’s belief that the terminology “out of wedlock” is outdated and pejorative, and that the marital status of a minor’s parents at the time of birth is not relevant to the minor’s actual settlement.</w:t>
      </w:r>
    </w:p>
    <w:p w:rsidR="00BC3D8E" w:rsidRDefault="00BC3D8E" w:rsidP="00BC3D8E">
      <w:r>
        <w:tab/>
        <w:t xml:space="preserve">Instead, this bill establishes that a minor’s county of settlement is the settlement of the minor’s parents, or in the case of </w:t>
      </w:r>
      <w:r w:rsidRPr="005B1742">
        <w:t>parents who do not share the same settlement</w:t>
      </w:r>
      <w:r>
        <w:t xml:space="preserve">, of the parent having sole custody or </w:t>
      </w:r>
      <w:r w:rsidRPr="005B1742">
        <w:t xml:space="preserve">with whom the minor most often resides.  </w:t>
      </w:r>
      <w:r>
        <w:t>This will better reflect the child’s actual residence, and eliminates any need to question whether the child’s parents were married when the child was born.</w:t>
      </w:r>
    </w:p>
    <w:sectPr w:rsidR="00BC3D8E" w:rsidSect="00C327BA">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C09" w:rsidRDefault="00BC4C09">
      <w:r>
        <w:separator/>
      </w:r>
    </w:p>
  </w:endnote>
  <w:endnote w:type="continuationSeparator" w:id="0">
    <w:p w:rsidR="00BC4C09" w:rsidRDefault="00BC4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7BA" w:rsidRPr="00921C91" w:rsidRDefault="00C327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27BA" w:rsidRPr="00921C91" w:rsidRDefault="00C327BA">
    <w:pPr>
      <w:pStyle w:val="Footer"/>
      <w:rPr>
        <w:szCs w:val="18"/>
      </w:rPr>
    </w:pPr>
  </w:p>
  <w:p w:rsidR="00C327BA" w:rsidRPr="00921C91" w:rsidRDefault="00C327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27BA" w:rsidRDefault="00C327B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C09" w:rsidRDefault="00BC4C09">
      <w:r>
        <w:separator/>
      </w:r>
    </w:p>
  </w:footnote>
  <w:footnote w:type="continuationSeparator" w:id="0">
    <w:p w:rsidR="00BC4C09" w:rsidRDefault="00BC4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32D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327BA" w:rsidRDefault="00C327BA" w:rsidP="00C327BA">
    <w:pPr>
      <w:pStyle w:val="bpuHeadSpon"/>
    </w:pPr>
    <w:r w:rsidRPr="00C327BA">
      <w:rPr>
        <w:rStyle w:val="bpuHeadSponChar"/>
      </w:rPr>
      <w:t>A2234</w:t>
    </w:r>
    <w:r>
      <w:t xml:space="preserve"> DANCER, VAINIERI HUTTLE</w:t>
    </w:r>
  </w:p>
  <w:p w:rsidR="00C327BA" w:rsidRDefault="00C327BA" w:rsidP="00C327BA">
    <w:pPr>
      <w:pStyle w:val="bpuHeadSpon"/>
    </w:pPr>
    <w:r>
      <w:fldChar w:fldCharType="begin"/>
    </w:r>
    <w:r>
      <w:instrText xml:space="preserve"> PAGE  \* MERGEFORMAT </w:instrText>
    </w:r>
    <w:r>
      <w:fldChar w:fldCharType="separate"/>
    </w:r>
    <w:r>
      <w:rPr>
        <w:noProof/>
      </w:rPr>
      <w:t>3</w:t>
    </w:r>
    <w:r>
      <w:fldChar w:fldCharType="end"/>
    </w:r>
  </w:p>
  <w:p w:rsidR="00C327BA" w:rsidRPr="00AF575C" w:rsidRDefault="00C327BA" w:rsidP="00C327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327BA" w:rsidRDefault="00C327BA" w:rsidP="00C327BA">
    <w:pPr>
      <w:pStyle w:val="bpuHeadSpon"/>
    </w:pPr>
    <w:r w:rsidRPr="00C327BA">
      <w:rPr>
        <w:rStyle w:val="bpuHeadSponChar"/>
      </w:rPr>
      <w:t>A2234</w:t>
    </w:r>
    <w:r>
      <w:t xml:space="preserve"> DANCER, VAINIERI HUTTLE</w:t>
    </w:r>
  </w:p>
  <w:p w:rsidR="00C327BA" w:rsidRDefault="00C327BA" w:rsidP="00C327BA">
    <w:pPr>
      <w:pStyle w:val="bpuHeadSpon"/>
    </w:pPr>
    <w:r>
      <w:fldChar w:fldCharType="begin"/>
    </w:r>
    <w:r>
      <w:instrText xml:space="preserve"> PAGE  \* MERGEFORMAT </w:instrText>
    </w:r>
    <w:r>
      <w:fldChar w:fldCharType="separate"/>
    </w:r>
    <w:r w:rsidR="00932DB0">
      <w:rPr>
        <w:noProof/>
      </w:rPr>
      <w:t>2</w:t>
    </w:r>
    <w:r>
      <w:fldChar w:fldCharType="end"/>
    </w:r>
  </w:p>
  <w:p w:rsidR="00C327BA" w:rsidRDefault="00C327BA" w:rsidP="00C327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C0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547"/>
    <w:rsid w:val="001C6A67"/>
    <w:rsid w:val="001D576D"/>
    <w:rsid w:val="001D7350"/>
    <w:rsid w:val="001E4DBB"/>
    <w:rsid w:val="001F6719"/>
    <w:rsid w:val="001F6DA6"/>
    <w:rsid w:val="002035DA"/>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93E"/>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2DB0"/>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02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08E3"/>
    <w:rsid w:val="00BB2482"/>
    <w:rsid w:val="00BC3D8E"/>
    <w:rsid w:val="00BC4545"/>
    <w:rsid w:val="00BC4C09"/>
    <w:rsid w:val="00BD79EC"/>
    <w:rsid w:val="00BE204A"/>
    <w:rsid w:val="00BE26FC"/>
    <w:rsid w:val="00BF23C7"/>
    <w:rsid w:val="00BF7456"/>
    <w:rsid w:val="00C035F3"/>
    <w:rsid w:val="00C078A1"/>
    <w:rsid w:val="00C327BA"/>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76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440B6DF-9887-4BBC-B624-5DC31D74C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32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217D2-C58F-410F-A7BB-9354BB134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422</Words>
  <Characters>2160</Characters>
  <Application>Microsoft Office Word</Application>
  <DocSecurity>0</DocSecurity>
  <Lines>69</Lines>
  <Paragraphs>24</Paragraphs>
  <ScaleCrop>false</ScaleCrop>
  <HeadingPairs>
    <vt:vector size="2" baseType="variant">
      <vt:variant>
        <vt:lpstr>Title</vt:lpstr>
      </vt:variant>
      <vt:variant>
        <vt:i4>1</vt:i4>
      </vt:variant>
    </vt:vector>
  </HeadingPairs>
  <TitlesOfParts>
    <vt:vector size="1" baseType="lpstr">
      <vt:lpstr>A2234</vt:lpstr>
    </vt:vector>
  </TitlesOfParts>
  <Manager>R225</Manager>
  <Company>OFFICE of LEGISLATIVE SERVICES</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A2234</dc:title>
  <dc:creator>Assemblyman  DANCER, Assemblywoman  VAINIERI HUTTLE</dc:creator>
  <cp:keywords>A2234|2|HS |254|0|0|!|0|</cp:keywords>
  <dc:description>PREFILED 2020</dc:description>
  <cp:lastModifiedBy>Siracusa, Nicole</cp:lastModifiedBy>
  <cp:revision>2</cp:revision>
  <cp:lastPrinted>2005-07-29T18:13:00Z</cp:lastPrinted>
  <dcterms:created xsi:type="dcterms:W3CDTF">2020-01-11T23:02:00Z</dcterms:created>
  <dcterms:modified xsi:type="dcterms:W3CDTF">2020-01-11T23:02:00Z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