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63F3C" w:rsidP="00407C9E">
      <w:pPr>
        <w:pStyle w:val="NoteOrEstimate"/>
      </w:pPr>
      <w:r>
        <w:t>LEGISLATIVE FISCAL ESTIMATE</w:t>
      </w:r>
    </w:p>
    <w:p w:rsidR="00C63F3C" w:rsidRPr="00C63F3C" w:rsidRDefault="00C63F3C" w:rsidP="00C63F3C">
      <w:pPr>
        <w:pStyle w:val="Reprint"/>
      </w:pPr>
      <w:r>
        <w:t>[First Reprint]</w:t>
      </w:r>
    </w:p>
    <w:p w:rsidR="003C5892" w:rsidRDefault="00C63F3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3110" w:rsidP="00CC3110">
      <w:pPr>
        <w:pStyle w:val="BillNo"/>
      </w:pPr>
      <w:r>
        <w:t>219th LEGISLATURE</w:t>
      </w:r>
    </w:p>
    <w:p w:rsidR="00353325" w:rsidRDefault="00353325" w:rsidP="00353325"/>
    <w:p w:rsidR="00CC3110" w:rsidRDefault="00CC3110" w:rsidP="00CC3110">
      <w:pPr>
        <w:jc w:val="center"/>
      </w:pPr>
      <w:r>
        <w:t>DATED: JUNE 30, 2020</w:t>
      </w:r>
    </w:p>
    <w:p w:rsidR="00CC3110" w:rsidRDefault="00CC3110" w:rsidP="00353325"/>
    <w:p w:rsidR="00CC3110" w:rsidRDefault="00CC311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E1008" w:rsidP="000151F2">
            <w:r w:rsidRPr="003E1008">
              <w:t>Criminalizes certain payments for referral of patients to substance use disorder treatment facilities.</w:t>
            </w:r>
            <w:r w:rsidR="000151F2" w:rsidRPr="003E1008" w:rsidDel="000151F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C43EC" w:rsidP="0047188B">
            <w:r w:rsidRPr="00CC43EC">
              <w:t>Annual State Expenditure and Revenue Increases. Annual Expenditure Increases to County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C43EC" w:rsidP="00515AC5">
            <w:r w:rsidRPr="00CC43EC">
              <w:t xml:space="preserve">Department of Law and Public Safety; Judiciary; Office of the Public Defender; Department of Corrections; County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C43EC" w:rsidTr="00CC43EC">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C43EC" w:rsidRPr="00F11982" w:rsidRDefault="00CC43E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CC43EC" w:rsidRPr="00F11982" w:rsidRDefault="00CC43E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47188B" w:rsidTr="00CC43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47188B" w:rsidRPr="00F11982" w:rsidRDefault="00CC43EC" w:rsidP="002D7863">
            <w:pPr>
              <w:tabs>
                <w:tab w:val="left" w:pos="360"/>
                <w:tab w:val="left" w:pos="720"/>
                <w:tab w:val="left" w:pos="1440"/>
                <w:tab w:val="left" w:pos="2160"/>
                <w:tab w:val="left" w:pos="2880"/>
                <w:tab w:val="left" w:pos="3600"/>
                <w:tab w:val="left" w:pos="4320"/>
                <w:tab w:val="left" w:pos="5040"/>
              </w:tabs>
              <w:rPr>
                <w:b/>
              </w:rPr>
            </w:pPr>
            <w:r w:rsidRPr="00CC43EC">
              <w:rPr>
                <w:b/>
              </w:rPr>
              <w:t>State Expenditure Increase</w:t>
            </w:r>
          </w:p>
        </w:tc>
        <w:tc>
          <w:tcPr>
            <w:tcW w:w="6300" w:type="dxa"/>
            <w:tcBorders>
              <w:top w:val="nil"/>
              <w:left w:val="nil"/>
              <w:bottom w:val="nil"/>
              <w:right w:val="single" w:sz="6" w:space="0" w:color="auto"/>
            </w:tcBorders>
            <w:tcMar>
              <w:bottom w:w="29" w:type="dxa"/>
            </w:tcMar>
            <w:vAlign w:val="bottom"/>
          </w:tcPr>
          <w:p w:rsidR="0047188B" w:rsidRDefault="0047188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7188B" w:rsidTr="00CC43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47188B" w:rsidRPr="00F11982" w:rsidRDefault="00CC43EC" w:rsidP="002D7863">
            <w:pPr>
              <w:tabs>
                <w:tab w:val="left" w:pos="360"/>
                <w:tab w:val="left" w:pos="720"/>
                <w:tab w:val="left" w:pos="1440"/>
                <w:tab w:val="left" w:pos="2160"/>
                <w:tab w:val="left" w:pos="2880"/>
                <w:tab w:val="left" w:pos="3600"/>
                <w:tab w:val="left" w:pos="4320"/>
                <w:tab w:val="left" w:pos="5040"/>
              </w:tabs>
              <w:rPr>
                <w:b/>
              </w:rPr>
            </w:pPr>
            <w:r w:rsidRPr="00CC43EC">
              <w:rPr>
                <w:b/>
              </w:rPr>
              <w:t>State Revenue Increase</w:t>
            </w:r>
          </w:p>
        </w:tc>
        <w:tc>
          <w:tcPr>
            <w:tcW w:w="6300" w:type="dxa"/>
            <w:tcBorders>
              <w:top w:val="nil"/>
              <w:left w:val="nil"/>
              <w:bottom w:val="nil"/>
              <w:right w:val="single" w:sz="6" w:space="0" w:color="auto"/>
            </w:tcBorders>
            <w:tcMar>
              <w:bottom w:w="29" w:type="dxa"/>
            </w:tcMar>
            <w:vAlign w:val="bottom"/>
          </w:tcPr>
          <w:p w:rsidR="0047188B" w:rsidRDefault="0047188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C43EC" w:rsidTr="00CC43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C43EC" w:rsidRPr="00F11982" w:rsidRDefault="00CC43EC" w:rsidP="002D7863">
            <w:pPr>
              <w:tabs>
                <w:tab w:val="left" w:pos="360"/>
                <w:tab w:val="left" w:pos="720"/>
                <w:tab w:val="left" w:pos="1440"/>
                <w:tab w:val="left" w:pos="2160"/>
                <w:tab w:val="left" w:pos="2880"/>
                <w:tab w:val="left" w:pos="3600"/>
                <w:tab w:val="left" w:pos="4320"/>
                <w:tab w:val="left" w:pos="5040"/>
              </w:tabs>
              <w:rPr>
                <w:b/>
              </w:rPr>
            </w:pPr>
            <w:r w:rsidRPr="00CC43EC">
              <w:rPr>
                <w:b/>
              </w:rPr>
              <w:t>Local Expenditure Increase</w:t>
            </w:r>
          </w:p>
        </w:tc>
        <w:tc>
          <w:tcPr>
            <w:tcW w:w="6300" w:type="dxa"/>
            <w:tcBorders>
              <w:top w:val="nil"/>
              <w:left w:val="nil"/>
              <w:bottom w:val="nil"/>
              <w:right w:val="single" w:sz="6" w:space="0" w:color="auto"/>
            </w:tcBorders>
            <w:tcMar>
              <w:bottom w:w="29" w:type="dxa"/>
            </w:tcMar>
            <w:vAlign w:val="bottom"/>
          </w:tcPr>
          <w:p w:rsidR="00CC43EC" w:rsidRDefault="00CC43EC" w:rsidP="002D7863">
            <w:pPr>
              <w:tabs>
                <w:tab w:val="left" w:pos="360"/>
                <w:tab w:val="left" w:pos="720"/>
                <w:tab w:val="left" w:pos="1440"/>
                <w:tab w:val="left" w:pos="2160"/>
                <w:tab w:val="left" w:pos="2880"/>
                <w:tab w:val="left" w:pos="3600"/>
                <w:tab w:val="left" w:pos="4320"/>
                <w:tab w:val="left" w:pos="5040"/>
              </w:tabs>
              <w:jc w:val="center"/>
            </w:pPr>
            <w:r w:rsidRPr="00CC43EC">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CC3110">
      <w:pPr>
        <w:tabs>
          <w:tab w:val="left" w:pos="360"/>
          <w:tab w:val="left" w:pos="720"/>
          <w:tab w:val="left" w:pos="1440"/>
          <w:tab w:val="left" w:pos="2160"/>
          <w:tab w:val="left" w:pos="2880"/>
          <w:tab w:val="left" w:pos="3600"/>
          <w:tab w:val="left" w:pos="4320"/>
          <w:tab w:val="left" w:pos="5040"/>
        </w:tabs>
      </w:pPr>
    </w:p>
    <w:p w:rsidR="005B6123" w:rsidRDefault="005B6123" w:rsidP="00CC3110">
      <w:pPr>
        <w:pStyle w:val="StyleBulletedSymbolsymbol"/>
        <w:spacing w:after="0"/>
      </w:pPr>
      <w:r>
        <w:t xml:space="preserve">The Office of Legislative Services (OLS) finds that establishing the crime of </w:t>
      </w:r>
      <w:r w:rsidR="00203112">
        <w:t xml:space="preserve">making or </w:t>
      </w:r>
      <w:r>
        <w:t xml:space="preserve">receiving </w:t>
      </w:r>
      <w:r w:rsidRPr="005B6123">
        <w:t xml:space="preserve">certain payments for </w:t>
      </w:r>
      <w:r w:rsidR="00DC38B9">
        <w:t xml:space="preserve">referring </w:t>
      </w:r>
      <w:r w:rsidRPr="005B6123">
        <w:t>patients to substance use disorder treatment facilities</w:t>
      </w:r>
      <w:r>
        <w:t xml:space="preserve"> would result in indeterminate annual expenditure increases to the Department of Law and Public Safety, the Judiciary, the Office of the Public Defender, and county prosecutors’ offices to the extent the bill results in more trials and convictions.  The OLS has insufficient data to serve as a basis for projecting the frequency of criminal violations subject to sanctions under the bill.</w:t>
      </w:r>
    </w:p>
    <w:p w:rsidR="00CC3110" w:rsidRDefault="00CC3110" w:rsidP="00CC3110">
      <w:pPr>
        <w:pStyle w:val="StyleBulletedSymbolsymbol"/>
        <w:numPr>
          <w:ilvl w:val="0"/>
          <w:numId w:val="0"/>
        </w:numPr>
        <w:spacing w:after="0"/>
        <w:ind w:left="360"/>
      </w:pPr>
    </w:p>
    <w:p w:rsidR="005B6123" w:rsidRDefault="005B6123" w:rsidP="00CC3110">
      <w:pPr>
        <w:pStyle w:val="StyleBulletedSymbolsymbol"/>
        <w:spacing w:after="0"/>
      </w:pPr>
      <w:r>
        <w:t>The referral activities enumerated in the bill would be a crime of the fourth degree, which is punishable by a term of imprisonment of up to 18 months, a fine of up to $10,000, or both.</w:t>
      </w:r>
    </w:p>
    <w:p w:rsidR="005B6123" w:rsidRDefault="005B6123" w:rsidP="00CC3110">
      <w:pPr>
        <w:pStyle w:val="StyleBulletedSymbolsymbol"/>
        <w:spacing w:after="0"/>
      </w:pPr>
      <w:r>
        <w:t xml:space="preserve">The Department of Corrections would incur increased annual costs if the bill’s provisions result in </w:t>
      </w:r>
      <w:r w:rsidR="00DC38B9">
        <w:t xml:space="preserve">additional </w:t>
      </w:r>
      <w:r>
        <w:t>incarcerations.</w:t>
      </w:r>
    </w:p>
    <w:p w:rsidR="00CC3110" w:rsidRDefault="00CC3110" w:rsidP="00CC3110">
      <w:pPr>
        <w:pStyle w:val="StyleBulletedSymbolsymbol"/>
        <w:numPr>
          <w:ilvl w:val="0"/>
          <w:numId w:val="0"/>
        </w:numPr>
        <w:spacing w:after="0"/>
        <w:ind w:left="360"/>
      </w:pPr>
    </w:p>
    <w:p w:rsidR="005B6123" w:rsidRDefault="005B6123" w:rsidP="00CC3110">
      <w:pPr>
        <w:pStyle w:val="StyleBulletedSymbolsymbol"/>
        <w:spacing w:after="0" w:line="240" w:lineRule="auto"/>
        <w:jc w:val="left"/>
      </w:pPr>
      <w:r>
        <w:t xml:space="preserve">The State would incur an indeterminate annual revenue increase from fine and penalty payments if the bill’s provisions result in </w:t>
      </w:r>
      <w:r w:rsidR="00DC38B9">
        <w:t xml:space="preserve">additional criminal </w:t>
      </w:r>
      <w:r>
        <w:t>convictions.</w:t>
      </w:r>
      <w:r w:rsidR="00CC3110">
        <w:br w:type="page"/>
      </w:r>
    </w:p>
    <w:p w:rsidR="00255944" w:rsidRPr="00255944" w:rsidRDefault="00255944" w:rsidP="00CC3110">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90AD2" w:rsidP="00A90AD2">
      <w:pPr>
        <w:tabs>
          <w:tab w:val="left" w:pos="360"/>
          <w:tab w:val="left" w:pos="720"/>
          <w:tab w:val="left" w:pos="1440"/>
          <w:tab w:val="left" w:pos="2160"/>
          <w:tab w:val="left" w:pos="2880"/>
          <w:tab w:val="left" w:pos="3600"/>
          <w:tab w:val="left" w:pos="4320"/>
          <w:tab w:val="left" w:pos="5040"/>
        </w:tabs>
      </w:pPr>
      <w:r>
        <w:tab/>
        <w:t xml:space="preserve">This bill provides that a person is guilty of a crime of the fourth degree if the person knowingly makes or receives a payment or otherwise furnishes or receives any fee, commission, or rebate to any person in connection with the referral of patients to substance use treatment disorder facilities regulated by the Division of Mental Health and Addiction Services in the Department of Human Services. The bill provides that a person is guilty of a crime of the fourth degree if the person knowingly assists, conspires with, or urges any person to violate a provision of </w:t>
      </w:r>
      <w:r w:rsidR="00DC38B9">
        <w:t xml:space="preserve">the </w:t>
      </w:r>
      <w:r>
        <w:t>bill.  A crime of the fourth degree is generally punishable by a term of imprisonment of up to 18 months</w:t>
      </w:r>
      <w:r w:rsidR="00DC38B9">
        <w:t>,</w:t>
      </w:r>
      <w:r>
        <w:t xml:space="preserve"> a fine of up to $10,000</w:t>
      </w:r>
      <w:r w:rsidR="00DC38B9">
        <w:t>,</w:t>
      </w:r>
      <w:r>
        <w:t xml:space="preserve"> or both.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41BB5"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C43EC" w:rsidRDefault="00CC43EC" w:rsidP="00CC43EC">
      <w:pPr>
        <w:tabs>
          <w:tab w:val="left" w:pos="360"/>
          <w:tab w:val="left" w:pos="720"/>
          <w:tab w:val="left" w:pos="1440"/>
          <w:tab w:val="left" w:pos="2160"/>
          <w:tab w:val="left" w:pos="2880"/>
          <w:tab w:val="left" w:pos="3600"/>
          <w:tab w:val="left" w:pos="4320"/>
          <w:tab w:val="left" w:pos="5040"/>
        </w:tabs>
      </w:pPr>
      <w:r>
        <w:tab/>
        <w:t xml:space="preserve">The </w:t>
      </w:r>
      <w:r w:rsidR="004142BE">
        <w:t>OLS</w:t>
      </w:r>
      <w:r w:rsidRPr="00CC43EC">
        <w:t xml:space="preserve"> finds that establishing the crime of </w:t>
      </w:r>
      <w:r w:rsidR="00203112">
        <w:t xml:space="preserve">making or </w:t>
      </w:r>
      <w:r w:rsidRPr="00CC43EC">
        <w:t>receiving certain payments for referral of patients to substance use disorder treatment facilities would result in indeterminate annual expenditure increases to the Department of Law and Public Safety, the Judiciary, the Office of the Public Defender, and county prosecutors’ offices to the extent</w:t>
      </w:r>
      <w:r w:rsidR="00DC38B9">
        <w:t xml:space="preserve"> that</w:t>
      </w:r>
      <w:r w:rsidRPr="00CC43EC">
        <w:t xml:space="preserve"> the bill results in </w:t>
      </w:r>
      <w:r w:rsidR="00C57798">
        <w:t xml:space="preserve">additional </w:t>
      </w:r>
      <w:r w:rsidRPr="00CC43EC">
        <w:t>trials and convictions.  The OLS has insufficient data to serve as a basis for projecting the frequency of criminal violations subject to sanctions under the bill.</w:t>
      </w:r>
    </w:p>
    <w:p w:rsidR="00203112" w:rsidRDefault="00203112" w:rsidP="00CC43EC">
      <w:pPr>
        <w:tabs>
          <w:tab w:val="left" w:pos="360"/>
          <w:tab w:val="left" w:pos="720"/>
          <w:tab w:val="left" w:pos="1440"/>
          <w:tab w:val="left" w:pos="2160"/>
          <w:tab w:val="left" w:pos="2880"/>
          <w:tab w:val="left" w:pos="3600"/>
          <w:tab w:val="left" w:pos="4320"/>
          <w:tab w:val="left" w:pos="5040"/>
        </w:tabs>
      </w:pPr>
    </w:p>
    <w:p w:rsidR="00CC43EC" w:rsidRDefault="00CC43EC" w:rsidP="00CC43EC">
      <w:pPr>
        <w:tabs>
          <w:tab w:val="left" w:pos="360"/>
          <w:tab w:val="left" w:pos="720"/>
          <w:tab w:val="left" w:pos="1440"/>
          <w:tab w:val="left" w:pos="2160"/>
          <w:tab w:val="left" w:pos="2880"/>
          <w:tab w:val="left" w:pos="3600"/>
          <w:tab w:val="left" w:pos="4320"/>
          <w:tab w:val="left" w:pos="5040"/>
        </w:tabs>
      </w:pPr>
      <w:r>
        <w:tab/>
      </w:r>
      <w:r w:rsidRPr="00CC43EC">
        <w:rPr>
          <w:b/>
        </w:rPr>
        <w:t>Expenditure Increases:</w:t>
      </w:r>
      <w:r>
        <w:t xml:space="preserve">  </w:t>
      </w:r>
      <w:r>
        <w:tab/>
        <w:t xml:space="preserve">The referral activities enumerated in the bill would </w:t>
      </w:r>
      <w:r w:rsidR="00C57798">
        <w:t xml:space="preserve">constitute </w:t>
      </w:r>
      <w:r>
        <w:t xml:space="preserve">a crime of the fourth degree, which is punishable by a term of imprisonment of up to 18 months, a fine of up to $10,000, or both. </w:t>
      </w:r>
      <w:r w:rsidR="00C57798">
        <w:t xml:space="preserve"> </w:t>
      </w:r>
      <w:r>
        <w:t xml:space="preserve">A presumption of non-incarceration applies to first-time offenders for crimes of the fourth degree.  However, there may be instances where violations of the bill’s provisions lead to incarceration, resulting in increased costs to the Department of Corrections. </w:t>
      </w:r>
    </w:p>
    <w:p w:rsidR="00CC43EC" w:rsidRDefault="00CC43EC" w:rsidP="00CC43EC">
      <w:pPr>
        <w:tabs>
          <w:tab w:val="left" w:pos="360"/>
          <w:tab w:val="left" w:pos="720"/>
          <w:tab w:val="left" w:pos="1440"/>
          <w:tab w:val="left" w:pos="2160"/>
          <w:tab w:val="left" w:pos="2880"/>
          <w:tab w:val="left" w:pos="3600"/>
          <w:tab w:val="left" w:pos="4320"/>
          <w:tab w:val="left" w:pos="5040"/>
        </w:tabs>
      </w:pPr>
    </w:p>
    <w:p w:rsidR="00CC43EC" w:rsidRDefault="00CC43EC" w:rsidP="00CC43EC">
      <w:pPr>
        <w:tabs>
          <w:tab w:val="left" w:pos="360"/>
          <w:tab w:val="left" w:pos="720"/>
          <w:tab w:val="left" w:pos="1440"/>
          <w:tab w:val="left" w:pos="2160"/>
          <w:tab w:val="left" w:pos="2880"/>
          <w:tab w:val="left" w:pos="3600"/>
          <w:tab w:val="left" w:pos="4320"/>
          <w:tab w:val="left" w:pos="5040"/>
        </w:tabs>
      </w:pPr>
      <w:r>
        <w:tab/>
      </w:r>
      <w:r w:rsidRPr="00CC43EC">
        <w:rPr>
          <w:b/>
        </w:rPr>
        <w:t>Revenue Increases:</w:t>
      </w:r>
      <w:r>
        <w:t xml:space="preserve">  The State would incur an indeterminate annual revenue increase from fine and penalty payments if the bill’s provisions result in </w:t>
      </w:r>
      <w:r w:rsidR="00C57798">
        <w:t xml:space="preserve">additional </w:t>
      </w:r>
      <w:r>
        <w:t xml:space="preserve">convictions.   </w:t>
      </w:r>
    </w:p>
    <w:p w:rsidR="00CC43EC" w:rsidRDefault="00CC43EC" w:rsidP="00CC43EC">
      <w:pPr>
        <w:tabs>
          <w:tab w:val="left" w:pos="360"/>
          <w:tab w:val="left" w:pos="720"/>
          <w:tab w:val="left" w:pos="1440"/>
          <w:tab w:val="left" w:pos="2160"/>
          <w:tab w:val="left" w:pos="2880"/>
          <w:tab w:val="left" w:pos="3600"/>
          <w:tab w:val="left" w:pos="4320"/>
          <w:tab w:val="left" w:pos="5040"/>
        </w:tabs>
      </w:pPr>
      <w:r>
        <w:tab/>
        <w:t xml:space="preserve">The OLS cannot determine the number of convictions </w:t>
      </w:r>
      <w:r w:rsidR="00C57798">
        <w:t xml:space="preserve">that would </w:t>
      </w:r>
      <w:r>
        <w:t xml:space="preserve">result </w:t>
      </w:r>
      <w:r w:rsidR="00C57798">
        <w:t xml:space="preserve">from passage of </w:t>
      </w:r>
      <w:r>
        <w:t xml:space="preserve">the bill and, by extension, the total of any resultant fine, fee, and assessment collections.  </w:t>
      </w:r>
    </w:p>
    <w:p w:rsidR="00255944" w:rsidRDefault="00CC43EC" w:rsidP="00CC43EC">
      <w:pPr>
        <w:tabs>
          <w:tab w:val="left" w:pos="360"/>
          <w:tab w:val="left" w:pos="720"/>
          <w:tab w:val="left" w:pos="1440"/>
          <w:tab w:val="left" w:pos="2160"/>
          <w:tab w:val="left" w:pos="2880"/>
          <w:tab w:val="left" w:pos="3600"/>
          <w:tab w:val="left" w:pos="4320"/>
          <w:tab w:val="left" w:pos="5040"/>
        </w:tabs>
      </w:pPr>
      <w:r>
        <w:tab/>
        <w:t xml:space="preserve">The OLS additionally notes that due to financial constraints, many penalties go unpaid by those persons convicted of crimes.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142BE"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316A" w:rsidP="00EF17BC">
            <w:pPr>
              <w:pStyle w:val="10pointItalics"/>
            </w:pPr>
            <w:bookmarkStart w:id="2" w:name="UserFullName"/>
            <w:bookmarkEnd w:id="2"/>
            <w:r>
              <w:t>Kristin Brunner</w:t>
            </w:r>
            <w:r w:rsidR="00B41BB5">
              <w:t xml:space="preserve"> Santos</w:t>
            </w:r>
          </w:p>
          <w:p w:rsidR="00EF17BC" w:rsidRDefault="00B41BB5" w:rsidP="00B41BB5">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C3110" w:rsidRDefault="00CC3110" w:rsidP="00EF17BC">
      <w:pPr>
        <w:spacing w:line="287" w:lineRule="atLeast"/>
      </w:pPr>
    </w:p>
    <w:p w:rsidR="00EF17BC" w:rsidRDefault="00C63F3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3F3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C3110">
      <w:headerReference w:type="default" r:id="rId8"/>
      <w:footerReference w:type="first" r:id="rId9"/>
      <w:pgSz w:w="12240" w:h="20160" w:code="5"/>
      <w:pgMar w:top="1440" w:right="1440" w:bottom="990" w:left="1440" w:header="1440" w:footer="3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83D" w:rsidRDefault="00A9583D">
      <w:r>
        <w:separator/>
      </w:r>
    </w:p>
  </w:endnote>
  <w:endnote w:type="continuationSeparator" w:id="0">
    <w:p w:rsidR="00A9583D" w:rsidRDefault="00A95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7FE0">
          <w:pPr>
            <w:pStyle w:val="Footer"/>
          </w:pPr>
          <w:r>
            <w:rPr>
              <w:noProof/>
              <w:sz w:val="20"/>
              <w:szCs w:val="20"/>
            </w:rPr>
            <w:object w:dxaOrig="1440" w:dyaOrig="1440" w14:anchorId="5C26A1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0334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83D" w:rsidRDefault="00A9583D">
      <w:r>
        <w:separator/>
      </w:r>
    </w:p>
  </w:footnote>
  <w:footnote w:type="continuationSeparator" w:id="0">
    <w:p w:rsidR="00A9583D" w:rsidRDefault="00A95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F3C" w:rsidRDefault="00C63F3C" w:rsidP="00C63F3C">
    <w:pPr>
      <w:pStyle w:val="Header"/>
      <w:jc w:val="center"/>
    </w:pPr>
    <w:r>
      <w:t>F</w:t>
    </w:r>
    <w:r w:rsidR="00CC3110">
      <w:t>E to A</w:t>
    </w:r>
    <w:r>
      <w:t>2280 [1R]</w:t>
    </w:r>
  </w:p>
  <w:p w:rsidR="00C63F3C" w:rsidRDefault="00C63F3C" w:rsidP="00C63F3C">
    <w:pPr>
      <w:pStyle w:val="Header"/>
      <w:jc w:val="center"/>
    </w:pPr>
    <w:r>
      <w:fldChar w:fldCharType="begin"/>
    </w:r>
    <w:r>
      <w:instrText xml:space="preserve"> PAGE  \* MERGEFORMAT </w:instrText>
    </w:r>
    <w:r>
      <w:fldChar w:fldCharType="separate"/>
    </w:r>
    <w:r w:rsidR="00C67FE0">
      <w:rPr>
        <w:noProof/>
      </w:rPr>
      <w:t>2</w:t>
    </w:r>
    <w:r>
      <w:fldChar w:fldCharType="end"/>
    </w:r>
  </w:p>
  <w:p w:rsidR="00C63F3C" w:rsidRDefault="00C63F3C" w:rsidP="00C63F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3C"/>
    <w:rsid w:val="00011EDD"/>
    <w:rsid w:val="00013973"/>
    <w:rsid w:val="000151F2"/>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112"/>
    <w:rsid w:val="00203C53"/>
    <w:rsid w:val="00210E60"/>
    <w:rsid w:val="002116FF"/>
    <w:rsid w:val="00212908"/>
    <w:rsid w:val="00213CFF"/>
    <w:rsid w:val="00220166"/>
    <w:rsid w:val="00231207"/>
    <w:rsid w:val="00234802"/>
    <w:rsid w:val="00240D27"/>
    <w:rsid w:val="00241AAD"/>
    <w:rsid w:val="002427E6"/>
    <w:rsid w:val="002451F9"/>
    <w:rsid w:val="002518C8"/>
    <w:rsid w:val="00255944"/>
    <w:rsid w:val="00261FC7"/>
    <w:rsid w:val="00275600"/>
    <w:rsid w:val="0028316A"/>
    <w:rsid w:val="00290E57"/>
    <w:rsid w:val="0029229D"/>
    <w:rsid w:val="002948CB"/>
    <w:rsid w:val="002977FC"/>
    <w:rsid w:val="002A15C4"/>
    <w:rsid w:val="002A2F18"/>
    <w:rsid w:val="002A5C0C"/>
    <w:rsid w:val="002C71E0"/>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1008"/>
    <w:rsid w:val="00407C9E"/>
    <w:rsid w:val="0041022E"/>
    <w:rsid w:val="004142BE"/>
    <w:rsid w:val="004149CC"/>
    <w:rsid w:val="004228B9"/>
    <w:rsid w:val="00447D78"/>
    <w:rsid w:val="0047188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8F0"/>
    <w:rsid w:val="005470F3"/>
    <w:rsid w:val="00570997"/>
    <w:rsid w:val="00577AA8"/>
    <w:rsid w:val="005850CE"/>
    <w:rsid w:val="005A6D23"/>
    <w:rsid w:val="005B6123"/>
    <w:rsid w:val="005C1947"/>
    <w:rsid w:val="005C1E9D"/>
    <w:rsid w:val="005D063B"/>
    <w:rsid w:val="005D0958"/>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519"/>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0AD2"/>
    <w:rsid w:val="00A9583D"/>
    <w:rsid w:val="00A9794C"/>
    <w:rsid w:val="00AB0440"/>
    <w:rsid w:val="00AC3FC5"/>
    <w:rsid w:val="00AD340B"/>
    <w:rsid w:val="00AE3966"/>
    <w:rsid w:val="00AF11C6"/>
    <w:rsid w:val="00B002D1"/>
    <w:rsid w:val="00B0190D"/>
    <w:rsid w:val="00B057F1"/>
    <w:rsid w:val="00B143A9"/>
    <w:rsid w:val="00B41BB5"/>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7798"/>
    <w:rsid w:val="00C63F3C"/>
    <w:rsid w:val="00C67FE0"/>
    <w:rsid w:val="00C75246"/>
    <w:rsid w:val="00C80B0B"/>
    <w:rsid w:val="00C91EDF"/>
    <w:rsid w:val="00C97447"/>
    <w:rsid w:val="00CC3110"/>
    <w:rsid w:val="00CC43EC"/>
    <w:rsid w:val="00CC6622"/>
    <w:rsid w:val="00D20F5D"/>
    <w:rsid w:val="00D376ED"/>
    <w:rsid w:val="00D40E4F"/>
    <w:rsid w:val="00D638D0"/>
    <w:rsid w:val="00D67A0A"/>
    <w:rsid w:val="00D734B9"/>
    <w:rsid w:val="00D762A6"/>
    <w:rsid w:val="00D762BF"/>
    <w:rsid w:val="00D84564"/>
    <w:rsid w:val="00D958CF"/>
    <w:rsid w:val="00D968A7"/>
    <w:rsid w:val="00DC2149"/>
    <w:rsid w:val="00DC38B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7F53"/>
    <w:rsid w:val="00EE7D05"/>
    <w:rsid w:val="00EF17BC"/>
    <w:rsid w:val="00EF3B9C"/>
    <w:rsid w:val="00F04CAD"/>
    <w:rsid w:val="00F11982"/>
    <w:rsid w:val="00F2634D"/>
    <w:rsid w:val="00F264AE"/>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EF66D79-F72B-449B-A130-D39D4F39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C38B9"/>
    <w:rPr>
      <w:sz w:val="16"/>
      <w:szCs w:val="16"/>
    </w:rPr>
  </w:style>
  <w:style w:type="paragraph" w:styleId="CommentText">
    <w:name w:val="annotation text"/>
    <w:basedOn w:val="Normal"/>
    <w:link w:val="CommentTextChar"/>
    <w:semiHidden/>
    <w:unhideWhenUsed/>
    <w:rsid w:val="00DC38B9"/>
    <w:pPr>
      <w:spacing w:line="240" w:lineRule="auto"/>
    </w:pPr>
    <w:rPr>
      <w:sz w:val="20"/>
      <w:szCs w:val="20"/>
    </w:rPr>
  </w:style>
  <w:style w:type="character" w:customStyle="1" w:styleId="CommentTextChar">
    <w:name w:val="Comment Text Char"/>
    <w:basedOn w:val="DefaultParagraphFont"/>
    <w:link w:val="CommentText"/>
    <w:semiHidden/>
    <w:rsid w:val="00DC38B9"/>
  </w:style>
  <w:style w:type="paragraph" w:styleId="CommentSubject">
    <w:name w:val="annotation subject"/>
    <w:basedOn w:val="CommentText"/>
    <w:next w:val="CommentText"/>
    <w:link w:val="CommentSubjectChar"/>
    <w:semiHidden/>
    <w:unhideWhenUsed/>
    <w:rsid w:val="00DC38B9"/>
    <w:rPr>
      <w:b/>
      <w:bCs/>
    </w:rPr>
  </w:style>
  <w:style w:type="character" w:customStyle="1" w:styleId="CommentSubjectChar">
    <w:name w:val="Comment Subject Char"/>
    <w:basedOn w:val="CommentTextChar"/>
    <w:link w:val="CommentSubject"/>
    <w:semiHidden/>
    <w:rsid w:val="00DC38B9"/>
    <w:rPr>
      <w:b/>
      <w:bCs/>
    </w:rPr>
  </w:style>
  <w:style w:type="paragraph" w:styleId="BalloonText">
    <w:name w:val="Balloon Text"/>
    <w:basedOn w:val="Normal"/>
    <w:link w:val="BalloonTextChar"/>
    <w:semiHidden/>
    <w:unhideWhenUsed/>
    <w:rsid w:val="00DC38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8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C89DA-D82C-4815-B679-06BE80299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685</Words>
  <Characters>3783</Characters>
  <Application>Microsoft Office Word</Application>
  <DocSecurity>0</DocSecurity>
  <Lines>103</Lines>
  <Paragraphs>47</Paragraphs>
  <ScaleCrop>false</ScaleCrop>
  <HeadingPairs>
    <vt:vector size="2" baseType="variant">
      <vt:variant>
        <vt:lpstr>Title</vt:lpstr>
      </vt:variant>
      <vt:variant>
        <vt:i4>1</vt:i4>
      </vt:variant>
    </vt:vector>
  </HeadingPairs>
  <TitlesOfParts>
    <vt:vector size="1" baseType="lpstr">
      <vt:lpstr>A2280 1R  FISCAL ESTIMATE</vt:lpstr>
    </vt:vector>
  </TitlesOfParts>
  <Manager>Kristin Brunner Santos; R229</Manager>
  <Company>Office of Legislative Services</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A2280 1R  FISCAL ESTIMATE</dc:title>
  <dc:creator>Assemblyman Armato and Assemblywoman MURPHY</dc:creator>
  <cp:keywords>A2280|2|LP |207|0|259|!||</cp:keywords>
  <dc:description>Sent to Sponsor 6/25/20 BPU 6/30/20</dc:description>
  <cp:lastModifiedBy>Bell, Careema</cp:lastModifiedBy>
  <cp:revision>2</cp:revision>
  <dcterms:created xsi:type="dcterms:W3CDTF">2020-06-30T18:44:00Z</dcterms:created>
  <dcterms:modified xsi:type="dcterms:W3CDTF">2020-06-30T18:44:00Z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