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1E7F9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1E7F9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2311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1E7F97">
        <w:t>Senate Floor Amendments</w:t>
      </w:r>
    </w:p>
    <w:p w:rsidR="00DA6F1D" w:rsidRDefault="001E7F97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1E7F97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1E7F97" w:rsidRDefault="001E7F97" w:rsidP="001E7F97"/>
    <w:p w:rsidR="001E7F97" w:rsidRPr="00DA6F1D" w:rsidRDefault="001E7F97" w:rsidP="00A74B07">
      <w:r>
        <w:tab/>
        <w:t xml:space="preserve">These Senate amendments delay the bill’s effective date to 90 days after the date of the bill’s enactment.  </w:t>
      </w:r>
    </w:p>
    <w:sectPr w:rsidR="001E7F9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B0032"/>
    <w:rsid w:val="001C7B7C"/>
    <w:rsid w:val="001E7F97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A177F"/>
    <w:rsid w:val="007A761C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3DC6EAB-F1D0-487D-B834-D46B2AA9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198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A2311 Senate JUNE 3, 2021</vt:lpstr>
    </vt:vector>
  </TitlesOfParts>
  <Company>Office of Legislative Services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A2311 2R Senate Statement 6/3/21</dc:title>
  <dc:subject/>
  <dc:creator>Senate</dc:creator>
  <cp:keywords>A2311|1|ER |227|0|0|!||</cp:keywords>
  <dc:description/>
  <cp:lastModifiedBy>Bektas, Brenda</cp:lastModifiedBy>
  <cp:revision>2</cp:revision>
  <dcterms:created xsi:type="dcterms:W3CDTF">2021-06-04T18:16:00Z</dcterms:created>
  <dcterms:modified xsi:type="dcterms:W3CDTF">2021-06-04T18:16:00Z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