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405F1" w:rsidP="00407C9E">
      <w:pPr>
        <w:pStyle w:val="NoteOrEstimate"/>
      </w:pPr>
      <w:r>
        <w:t>LEGISLATIVE FISCAL ESTIMATE</w:t>
      </w:r>
    </w:p>
    <w:p w:rsidR="00D405F1" w:rsidRPr="00D405F1" w:rsidRDefault="00D405F1" w:rsidP="00D405F1">
      <w:pPr>
        <w:pStyle w:val="Reprint"/>
      </w:pPr>
      <w:r>
        <w:t>[Second Reprint]</w:t>
      </w:r>
    </w:p>
    <w:p w:rsidR="003C5892" w:rsidRDefault="00D405F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2877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86933" w:rsidP="00786933">
      <w:pPr>
        <w:pStyle w:val="BillNo"/>
      </w:pPr>
      <w:r>
        <w:t>219th LEGISLATURE</w:t>
      </w:r>
    </w:p>
    <w:p w:rsidR="00353325" w:rsidRDefault="00353325" w:rsidP="00353325"/>
    <w:p w:rsidR="00786933" w:rsidRDefault="00786933" w:rsidP="00786933">
      <w:pPr>
        <w:jc w:val="center"/>
      </w:pPr>
      <w:r>
        <w:t>DATED: JANUARY 18, 2022</w:t>
      </w:r>
    </w:p>
    <w:p w:rsidR="00786933" w:rsidRDefault="00786933" w:rsidP="00353325"/>
    <w:p w:rsidR="00786933" w:rsidRDefault="00786933" w:rsidP="00353325"/>
    <w:p w:rsidR="00F96FF1" w:rsidRPr="003C5892" w:rsidRDefault="00F96FF1" w:rsidP="00F96FF1">
      <w:pPr>
        <w:pStyle w:val="SectionHeading"/>
        <w:tabs>
          <w:tab w:val="left" w:pos="360"/>
          <w:tab w:val="left" w:pos="720"/>
          <w:tab w:val="left" w:pos="1440"/>
          <w:tab w:val="left" w:pos="2160"/>
          <w:tab w:val="left" w:pos="2880"/>
          <w:tab w:val="left" w:pos="3600"/>
          <w:tab w:val="left" w:pos="4320"/>
          <w:tab w:val="left" w:pos="5040"/>
        </w:tabs>
      </w:pPr>
      <w:r>
        <w:t>SUMMARY</w:t>
      </w:r>
    </w:p>
    <w:p w:rsidR="00F96FF1" w:rsidRDefault="00F96FF1" w:rsidP="00F96FF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F96FF1" w:rsidTr="00EA32A1">
        <w:trPr>
          <w:trHeight w:val="576"/>
        </w:trPr>
        <w:tc>
          <w:tcPr>
            <w:tcW w:w="2333" w:type="dxa"/>
          </w:tcPr>
          <w:p w:rsidR="00F96FF1" w:rsidRPr="003C5892" w:rsidRDefault="00F96FF1" w:rsidP="00EA32A1">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96FF1" w:rsidRDefault="00F96FF1" w:rsidP="00EA32A1">
            <w:r>
              <w:t>Concerns municipal property registration ordinances to address risk of blight.</w:t>
            </w:r>
          </w:p>
        </w:tc>
      </w:tr>
      <w:tr w:rsidR="00F96FF1" w:rsidTr="00EA32A1">
        <w:trPr>
          <w:trHeight w:val="576"/>
        </w:trPr>
        <w:tc>
          <w:tcPr>
            <w:tcW w:w="2333" w:type="dxa"/>
          </w:tcPr>
          <w:p w:rsidR="00F96FF1" w:rsidRPr="003C5892" w:rsidRDefault="00F96FF1" w:rsidP="00EA32A1">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96FF1" w:rsidRDefault="00B006CF" w:rsidP="00EA32A1">
            <w:r>
              <w:t>Potential a</w:t>
            </w:r>
            <w:r w:rsidR="00F96FF1">
              <w:t>nnual cost increases to local governments; po</w:t>
            </w:r>
            <w:r>
              <w:t>tential</w:t>
            </w:r>
            <w:r w:rsidR="00F96FF1">
              <w:t xml:space="preserve"> annual revenue increases to local governments</w:t>
            </w:r>
          </w:p>
        </w:tc>
      </w:tr>
      <w:tr w:rsidR="00F96FF1" w:rsidTr="00EA32A1">
        <w:trPr>
          <w:trHeight w:val="576"/>
        </w:trPr>
        <w:tc>
          <w:tcPr>
            <w:tcW w:w="2333" w:type="dxa"/>
          </w:tcPr>
          <w:p w:rsidR="00F96FF1" w:rsidRPr="003C5892" w:rsidRDefault="00F96FF1" w:rsidP="00EA32A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96FF1" w:rsidRDefault="00F96FF1" w:rsidP="00EA32A1">
            <w:r w:rsidRPr="00FE566B">
              <w:t>Municipalities</w:t>
            </w:r>
          </w:p>
        </w:tc>
      </w:tr>
    </w:tbl>
    <w:p w:rsidR="00F96FF1" w:rsidRDefault="00F96FF1" w:rsidP="00F96FF1">
      <w:pPr>
        <w:tabs>
          <w:tab w:val="left" w:pos="360"/>
          <w:tab w:val="left" w:pos="720"/>
          <w:tab w:val="left" w:pos="1440"/>
          <w:tab w:val="left" w:pos="2160"/>
          <w:tab w:val="left" w:pos="2880"/>
          <w:tab w:val="left" w:pos="3600"/>
          <w:tab w:val="left" w:pos="4320"/>
          <w:tab w:val="left" w:pos="5040"/>
        </w:tabs>
      </w:pPr>
    </w:p>
    <w:p w:rsidR="00F96FF1" w:rsidRDefault="00F96FF1" w:rsidP="00F96FF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90"/>
        <w:gridCol w:w="1620"/>
        <w:gridCol w:w="2250"/>
        <w:gridCol w:w="1900"/>
        <w:gridCol w:w="15"/>
      </w:tblGrid>
      <w:tr w:rsidR="00F96FF1" w:rsidTr="00EA32A1">
        <w:trPr>
          <w:trHeight w:val="410"/>
        </w:trPr>
        <w:tc>
          <w:tcPr>
            <w:tcW w:w="9375" w:type="dxa"/>
            <w:gridSpan w:val="5"/>
            <w:tcBorders>
              <w:top w:val="nil"/>
              <w:left w:val="nil"/>
              <w:bottom w:val="nil"/>
              <w:right w:val="nil"/>
            </w:tcBorders>
            <w:vAlign w:val="bottom"/>
          </w:tcPr>
          <w:p w:rsidR="00F96FF1" w:rsidRPr="00F11982" w:rsidRDefault="00F96FF1" w:rsidP="00EA32A1">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96FF1" w:rsidTr="00EA32A1">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rsidR="00F96FF1" w:rsidRPr="00F11982" w:rsidRDefault="00F96FF1" w:rsidP="00EA32A1">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20" w:type="dxa"/>
            <w:tcBorders>
              <w:top w:val="single" w:sz="6" w:space="0" w:color="auto"/>
              <w:left w:val="nil"/>
              <w:bottom w:val="single" w:sz="12" w:space="0" w:color="auto"/>
              <w:right w:val="nil"/>
            </w:tcBorders>
            <w:shd w:val="pct20" w:color="auto" w:fill="auto"/>
            <w:vAlign w:val="bottom"/>
          </w:tcPr>
          <w:p w:rsidR="00F96FF1" w:rsidRPr="00F11982" w:rsidRDefault="00F96FF1" w:rsidP="00EA32A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250" w:type="dxa"/>
            <w:tcBorders>
              <w:top w:val="single" w:sz="6" w:space="0" w:color="auto"/>
              <w:left w:val="nil"/>
              <w:bottom w:val="single" w:sz="12" w:space="0" w:color="auto"/>
              <w:right w:val="nil"/>
            </w:tcBorders>
            <w:shd w:val="pct20" w:color="auto" w:fill="auto"/>
            <w:vAlign w:val="bottom"/>
          </w:tcPr>
          <w:p w:rsidR="00F96FF1" w:rsidRPr="00F11982" w:rsidRDefault="00F96FF1" w:rsidP="00EA32A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00" w:type="dxa"/>
            <w:tcBorders>
              <w:top w:val="single" w:sz="6" w:space="0" w:color="auto"/>
              <w:left w:val="nil"/>
              <w:bottom w:val="single" w:sz="12" w:space="0" w:color="auto"/>
              <w:right w:val="single" w:sz="6" w:space="0" w:color="auto"/>
            </w:tcBorders>
            <w:shd w:val="pct20" w:color="auto" w:fill="auto"/>
            <w:vAlign w:val="bottom"/>
          </w:tcPr>
          <w:p w:rsidR="00F96FF1" w:rsidRPr="00F11982" w:rsidRDefault="00F96FF1" w:rsidP="00EA32A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96FF1" w:rsidTr="00EA32A1">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F96FF1" w:rsidRPr="00F11982" w:rsidRDefault="00B006CF" w:rsidP="00EA32A1">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F96FF1" w:rsidRPr="00F11982">
              <w:rPr>
                <w:b/>
              </w:rPr>
              <w:t xml:space="preserve">Local </w:t>
            </w:r>
            <w:r w:rsidR="00F96FF1">
              <w:rPr>
                <w:b/>
              </w:rPr>
              <w:t>Cost Increase</w:t>
            </w:r>
          </w:p>
        </w:tc>
        <w:tc>
          <w:tcPr>
            <w:tcW w:w="1620" w:type="dxa"/>
            <w:tcBorders>
              <w:top w:val="nil"/>
              <w:left w:val="nil"/>
              <w:bottom w:val="nil"/>
              <w:right w:val="nil"/>
            </w:tcBorders>
            <w:tcMar>
              <w:bottom w:w="29" w:type="dxa"/>
            </w:tcMar>
            <w:vAlign w:val="bottom"/>
          </w:tcPr>
          <w:p w:rsidR="00F96FF1" w:rsidRDefault="00F96FF1" w:rsidP="00EA32A1">
            <w:pPr>
              <w:tabs>
                <w:tab w:val="left" w:pos="360"/>
                <w:tab w:val="left" w:pos="720"/>
                <w:tab w:val="left" w:pos="1440"/>
                <w:tab w:val="left" w:pos="2160"/>
                <w:tab w:val="left" w:pos="2880"/>
                <w:tab w:val="left" w:pos="3600"/>
                <w:tab w:val="left" w:pos="4320"/>
                <w:tab w:val="left" w:pos="5040"/>
              </w:tabs>
              <w:jc w:val="center"/>
            </w:pPr>
          </w:p>
        </w:tc>
        <w:tc>
          <w:tcPr>
            <w:tcW w:w="2250" w:type="dxa"/>
            <w:tcBorders>
              <w:top w:val="nil"/>
              <w:left w:val="nil"/>
              <w:bottom w:val="nil"/>
              <w:right w:val="nil"/>
            </w:tcBorders>
            <w:tcMar>
              <w:bottom w:w="29" w:type="dxa"/>
            </w:tcMar>
            <w:vAlign w:val="bottom"/>
          </w:tcPr>
          <w:p w:rsidR="00F96FF1" w:rsidRDefault="00F96FF1" w:rsidP="00EA32A1">
            <w:pPr>
              <w:tabs>
                <w:tab w:val="left" w:pos="360"/>
                <w:tab w:val="left" w:pos="720"/>
                <w:tab w:val="left" w:pos="1440"/>
                <w:tab w:val="left" w:pos="2160"/>
                <w:tab w:val="left" w:pos="2880"/>
                <w:tab w:val="left" w:pos="3600"/>
                <w:tab w:val="left" w:pos="4320"/>
                <w:tab w:val="left" w:pos="5040"/>
              </w:tabs>
              <w:jc w:val="center"/>
            </w:pPr>
            <w:r>
              <w:t>Indeterminate</w:t>
            </w:r>
          </w:p>
        </w:tc>
        <w:tc>
          <w:tcPr>
            <w:tcW w:w="1900" w:type="dxa"/>
            <w:tcBorders>
              <w:top w:val="nil"/>
              <w:left w:val="nil"/>
              <w:bottom w:val="nil"/>
              <w:right w:val="single" w:sz="6" w:space="0" w:color="auto"/>
            </w:tcBorders>
            <w:tcMar>
              <w:bottom w:w="29" w:type="dxa"/>
            </w:tcMar>
            <w:vAlign w:val="bottom"/>
          </w:tcPr>
          <w:p w:rsidR="00F96FF1" w:rsidRDefault="00F96FF1" w:rsidP="00EA32A1">
            <w:pPr>
              <w:tabs>
                <w:tab w:val="left" w:pos="360"/>
                <w:tab w:val="left" w:pos="720"/>
                <w:tab w:val="left" w:pos="1440"/>
                <w:tab w:val="left" w:pos="2160"/>
                <w:tab w:val="left" w:pos="2880"/>
                <w:tab w:val="left" w:pos="3600"/>
                <w:tab w:val="left" w:pos="4320"/>
                <w:tab w:val="left" w:pos="5040"/>
              </w:tabs>
              <w:jc w:val="center"/>
            </w:pPr>
          </w:p>
        </w:tc>
      </w:tr>
      <w:tr w:rsidR="00F96FF1" w:rsidTr="00EA32A1">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F96FF1" w:rsidRPr="00F11982" w:rsidRDefault="00F96FF1" w:rsidP="00EA32A1">
            <w:pPr>
              <w:tabs>
                <w:tab w:val="left" w:pos="360"/>
                <w:tab w:val="left" w:pos="720"/>
                <w:tab w:val="left" w:pos="1440"/>
                <w:tab w:val="left" w:pos="2160"/>
                <w:tab w:val="left" w:pos="2880"/>
                <w:tab w:val="left" w:pos="3600"/>
                <w:tab w:val="left" w:pos="4320"/>
                <w:tab w:val="left" w:pos="5040"/>
              </w:tabs>
              <w:rPr>
                <w:b/>
              </w:rPr>
            </w:pPr>
            <w:r>
              <w:rPr>
                <w:b/>
              </w:rPr>
              <w:t>Potential Local Revenue Increase</w:t>
            </w:r>
          </w:p>
        </w:tc>
        <w:tc>
          <w:tcPr>
            <w:tcW w:w="1620" w:type="dxa"/>
            <w:tcBorders>
              <w:top w:val="nil"/>
              <w:left w:val="nil"/>
              <w:bottom w:val="nil"/>
              <w:right w:val="nil"/>
            </w:tcBorders>
            <w:tcMar>
              <w:bottom w:w="29" w:type="dxa"/>
            </w:tcMar>
            <w:vAlign w:val="bottom"/>
          </w:tcPr>
          <w:p w:rsidR="00F96FF1" w:rsidRDefault="00F96FF1" w:rsidP="00EA32A1">
            <w:pPr>
              <w:tabs>
                <w:tab w:val="left" w:pos="360"/>
                <w:tab w:val="left" w:pos="720"/>
                <w:tab w:val="left" w:pos="1440"/>
                <w:tab w:val="left" w:pos="2160"/>
                <w:tab w:val="left" w:pos="2880"/>
                <w:tab w:val="left" w:pos="3600"/>
                <w:tab w:val="left" w:pos="4320"/>
                <w:tab w:val="left" w:pos="5040"/>
              </w:tabs>
              <w:jc w:val="center"/>
            </w:pPr>
          </w:p>
        </w:tc>
        <w:tc>
          <w:tcPr>
            <w:tcW w:w="2250" w:type="dxa"/>
            <w:tcBorders>
              <w:top w:val="nil"/>
              <w:left w:val="nil"/>
              <w:bottom w:val="nil"/>
              <w:right w:val="nil"/>
            </w:tcBorders>
            <w:tcMar>
              <w:bottom w:w="29" w:type="dxa"/>
            </w:tcMar>
            <w:vAlign w:val="bottom"/>
          </w:tcPr>
          <w:p w:rsidR="00F96FF1" w:rsidRDefault="00F96FF1" w:rsidP="00EA32A1">
            <w:pPr>
              <w:tabs>
                <w:tab w:val="left" w:pos="360"/>
                <w:tab w:val="left" w:pos="720"/>
                <w:tab w:val="left" w:pos="1440"/>
                <w:tab w:val="left" w:pos="2160"/>
                <w:tab w:val="left" w:pos="2880"/>
                <w:tab w:val="left" w:pos="3600"/>
                <w:tab w:val="left" w:pos="4320"/>
                <w:tab w:val="left" w:pos="5040"/>
              </w:tabs>
              <w:jc w:val="center"/>
            </w:pPr>
            <w:r>
              <w:t>Indeterminate</w:t>
            </w:r>
          </w:p>
        </w:tc>
        <w:tc>
          <w:tcPr>
            <w:tcW w:w="1900" w:type="dxa"/>
            <w:tcBorders>
              <w:top w:val="nil"/>
              <w:left w:val="nil"/>
              <w:bottom w:val="nil"/>
              <w:right w:val="single" w:sz="6" w:space="0" w:color="auto"/>
            </w:tcBorders>
            <w:tcMar>
              <w:bottom w:w="29" w:type="dxa"/>
            </w:tcMar>
            <w:vAlign w:val="bottom"/>
          </w:tcPr>
          <w:p w:rsidR="00F96FF1" w:rsidRDefault="00F96FF1" w:rsidP="00EA32A1">
            <w:pPr>
              <w:tabs>
                <w:tab w:val="left" w:pos="360"/>
                <w:tab w:val="left" w:pos="720"/>
                <w:tab w:val="left" w:pos="1440"/>
                <w:tab w:val="left" w:pos="2160"/>
                <w:tab w:val="left" w:pos="2880"/>
                <w:tab w:val="left" w:pos="3600"/>
                <w:tab w:val="left" w:pos="4320"/>
                <w:tab w:val="left" w:pos="5040"/>
              </w:tabs>
              <w:jc w:val="center"/>
            </w:pPr>
          </w:p>
        </w:tc>
      </w:tr>
      <w:tr w:rsidR="00F96FF1" w:rsidTr="00EA32A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F96FF1" w:rsidRDefault="00F96FF1" w:rsidP="00EA32A1">
            <w:pPr>
              <w:tabs>
                <w:tab w:val="left" w:pos="360"/>
                <w:tab w:val="left" w:pos="720"/>
                <w:tab w:val="left" w:pos="1440"/>
                <w:tab w:val="left" w:pos="2160"/>
                <w:tab w:val="left" w:pos="2880"/>
                <w:tab w:val="left" w:pos="3600"/>
                <w:tab w:val="left" w:pos="4320"/>
                <w:tab w:val="left" w:pos="5040"/>
              </w:tabs>
            </w:pPr>
          </w:p>
        </w:tc>
      </w:tr>
    </w:tbl>
    <w:p w:rsidR="00F96FF1" w:rsidRDefault="00F96FF1" w:rsidP="00F96FF1">
      <w:pPr>
        <w:tabs>
          <w:tab w:val="left" w:pos="360"/>
          <w:tab w:val="left" w:pos="720"/>
          <w:tab w:val="left" w:pos="1440"/>
          <w:tab w:val="left" w:pos="2160"/>
          <w:tab w:val="left" w:pos="2880"/>
          <w:tab w:val="left" w:pos="3600"/>
          <w:tab w:val="left" w:pos="4320"/>
          <w:tab w:val="left" w:pos="5040"/>
        </w:tabs>
      </w:pPr>
    </w:p>
    <w:p w:rsidR="00F96FF1" w:rsidRDefault="00F96FF1" w:rsidP="00786933">
      <w:pPr>
        <w:pStyle w:val="StyleBulletedSymbolsymbol"/>
        <w:spacing w:after="0"/>
      </w:pPr>
      <w:r>
        <w:t xml:space="preserve">The Office of Legislative Services (OLS) determines that the bill </w:t>
      </w:r>
      <w:r w:rsidR="00B006CF">
        <w:t>may</w:t>
      </w:r>
      <w:r>
        <w:t xml:space="preserve"> result in an indeterminate increase in annual local government expenditures for the administrative functions associated with the </w:t>
      </w:r>
      <w:r w:rsidR="003F2530">
        <w:t xml:space="preserve">bill’s requirement that creditors provide notification </w:t>
      </w:r>
      <w:r w:rsidR="00B006CF">
        <w:t>to municipalities regarding</w:t>
      </w:r>
      <w:r w:rsidR="003F2530">
        <w:t xml:space="preserve"> </w:t>
      </w:r>
      <w:r w:rsidR="00B006CF">
        <w:t>foreclosures</w:t>
      </w:r>
      <w:r w:rsidR="003F2530">
        <w:t xml:space="preserve"> o</w:t>
      </w:r>
      <w:r w:rsidR="00B006CF">
        <w:t>n commercial properties</w:t>
      </w:r>
      <w:r w:rsidR="00605F97">
        <w:t xml:space="preserve"> </w:t>
      </w:r>
      <w:r w:rsidR="00517913">
        <w:t>and for municipalities</w:t>
      </w:r>
      <w:r w:rsidR="00605F97">
        <w:t xml:space="preserve"> to provide notification to creditors </w:t>
      </w:r>
      <w:r w:rsidR="00CB0673">
        <w:t>of their responsibility to abate</w:t>
      </w:r>
      <w:r w:rsidR="00605F97">
        <w:t xml:space="preserve"> </w:t>
      </w:r>
      <w:r w:rsidR="00517913">
        <w:t>nuisances and viola</w:t>
      </w:r>
      <w:r w:rsidR="00CB0673">
        <w:t xml:space="preserve">tions of </w:t>
      </w:r>
      <w:r w:rsidR="00517913">
        <w:t>commercial properties</w:t>
      </w:r>
      <w:r w:rsidR="00CB0673">
        <w:t xml:space="preserve"> that are in foreclosure. </w:t>
      </w:r>
    </w:p>
    <w:p w:rsidR="00786933" w:rsidRDefault="00786933" w:rsidP="00786933">
      <w:pPr>
        <w:pStyle w:val="StyleBulletedSymbolsymbol"/>
        <w:numPr>
          <w:ilvl w:val="0"/>
          <w:numId w:val="0"/>
        </w:numPr>
        <w:spacing w:after="0"/>
        <w:ind w:left="360" w:hanging="360"/>
      </w:pPr>
    </w:p>
    <w:p w:rsidR="005F509A" w:rsidRDefault="00F96FF1" w:rsidP="00786933">
      <w:pPr>
        <w:pStyle w:val="StyleBulletedSymbolsymbol"/>
        <w:spacing w:after="0"/>
      </w:pPr>
      <w:r>
        <w:t>Local governments may expend additional monies to abate violations</w:t>
      </w:r>
      <w:r w:rsidR="00A94163">
        <w:t xml:space="preserve"> and nuisances to the extent that the creditor notification requirement increases the awareness of blighted commercial</w:t>
      </w:r>
      <w:r w:rsidR="004F597F">
        <w:t xml:space="preserve"> properties within a municipality</w:t>
      </w:r>
      <w:r w:rsidR="005F509A">
        <w:t xml:space="preserve"> and the municipality chooses to address these violations and nuisances</w:t>
      </w:r>
      <w:r w:rsidR="004F597F">
        <w:t>.</w:t>
      </w:r>
      <w:r w:rsidR="005F509A">
        <w:t xml:space="preserve">  The OLS notes that municipalities currently have this authority.</w:t>
      </w:r>
    </w:p>
    <w:p w:rsidR="00786933" w:rsidRDefault="00786933" w:rsidP="00786933">
      <w:pPr>
        <w:pStyle w:val="StyleBulletedSymbolsymbol"/>
        <w:numPr>
          <w:ilvl w:val="0"/>
          <w:numId w:val="0"/>
        </w:numPr>
        <w:spacing w:after="0"/>
        <w:ind w:left="360" w:hanging="360"/>
      </w:pPr>
    </w:p>
    <w:p w:rsidR="00F96FF1" w:rsidRDefault="005F509A" w:rsidP="00786933">
      <w:pPr>
        <w:pStyle w:val="StyleBulletedSymbolsymbol"/>
        <w:spacing w:after="0"/>
      </w:pPr>
      <w:r>
        <w:t xml:space="preserve">Municipalities </w:t>
      </w:r>
      <w:r w:rsidR="00FB64F9">
        <w:t>may impose penalties and enforce liens against creditors</w:t>
      </w:r>
      <w:r>
        <w:t xml:space="preserve"> </w:t>
      </w:r>
      <w:r w:rsidR="00FB64F9">
        <w:t xml:space="preserve">of commercial properties for failing to remedy violations and nuisances identified by the municipality, which would increase </w:t>
      </w:r>
      <w:r w:rsidR="00351E7F">
        <w:t xml:space="preserve">annual </w:t>
      </w:r>
      <w:r w:rsidR="00FB64F9">
        <w:t>local government revenues.</w:t>
      </w:r>
      <w:r>
        <w:t xml:space="preserve"> </w:t>
      </w:r>
      <w:r w:rsidR="00A94163">
        <w:t xml:space="preserve"> </w:t>
      </w:r>
      <w:r w:rsidR="00F96FF1">
        <w:t xml:space="preserve"> </w:t>
      </w:r>
      <w:r w:rsidR="00FB64F9">
        <w:t>Local governments with a property registration program created by ordinance may also impose fees on creditors</w:t>
      </w:r>
      <w:r w:rsidR="00B006CF">
        <w:t xml:space="preserve">, which would further increase annual revenues in these municipalities.  </w:t>
      </w:r>
    </w:p>
    <w:p w:rsidR="00351E7F" w:rsidRDefault="00351E7F" w:rsidP="00BD3E4A">
      <w:pPr>
        <w:pStyle w:val="StyleBulletedSymbolsymbol"/>
        <w:numPr>
          <w:ilvl w:val="0"/>
          <w:numId w:val="0"/>
        </w:numPr>
      </w:pPr>
    </w:p>
    <w:p w:rsidR="00F96FF1" w:rsidRPr="00255944" w:rsidRDefault="00F96FF1" w:rsidP="00F96FF1">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F96FF1" w:rsidRDefault="00F96FF1" w:rsidP="00F96FF1">
      <w:pPr>
        <w:tabs>
          <w:tab w:val="left" w:pos="360"/>
          <w:tab w:val="left" w:pos="720"/>
          <w:tab w:val="left" w:pos="1440"/>
          <w:tab w:val="left" w:pos="2160"/>
          <w:tab w:val="left" w:pos="2880"/>
          <w:tab w:val="left" w:pos="3600"/>
          <w:tab w:val="left" w:pos="4320"/>
          <w:tab w:val="left" w:pos="5040"/>
        </w:tabs>
      </w:pPr>
    </w:p>
    <w:p w:rsidR="00F96FF1" w:rsidRDefault="00F96FF1" w:rsidP="00F96FF1">
      <w:pPr>
        <w:tabs>
          <w:tab w:val="left" w:pos="360"/>
          <w:tab w:val="left" w:pos="720"/>
          <w:tab w:val="left" w:pos="1440"/>
          <w:tab w:val="left" w:pos="2160"/>
          <w:tab w:val="left" w:pos="2880"/>
          <w:tab w:val="left" w:pos="3600"/>
          <w:tab w:val="left" w:pos="4320"/>
          <w:tab w:val="left" w:pos="5040"/>
        </w:tabs>
      </w:pPr>
      <w:r>
        <w:tab/>
        <w:t xml:space="preserve">The bill enhances the guidance provided to local government for establishing property registration policies to address the risk of blight.  The bill requires that a creditor that has initiated a foreclosure proceeding on a commercial property to provide the municipal clerk with a listing of all commercial properties in the municipality for which the creditor has foreclosure actions pending.  </w:t>
      </w:r>
    </w:p>
    <w:p w:rsidR="00F96FF1" w:rsidRDefault="00F96FF1" w:rsidP="00F96FF1">
      <w:pPr>
        <w:tabs>
          <w:tab w:val="left" w:pos="360"/>
          <w:tab w:val="left" w:pos="720"/>
          <w:tab w:val="left" w:pos="1440"/>
          <w:tab w:val="left" w:pos="2160"/>
          <w:tab w:val="left" w:pos="2880"/>
          <w:tab w:val="left" w:pos="3600"/>
          <w:tab w:val="left" w:pos="4320"/>
          <w:tab w:val="left" w:pos="5040"/>
        </w:tabs>
      </w:pPr>
      <w:r>
        <w:tab/>
        <w:t xml:space="preserve">The bill requires the municipal clerk or other responsible local official to notify a foreclosing creditor in the event that a commercial property in foreclosure becomes vacant and the exterior of the property is found to be a nuisance or in violation of any applicable State or local code.  The creditor would have the responsibility to abate the nuisance or correct the violation.  If the creditor fails to remedy the violation within a specified period, the bill permits the municipality to impose penalties.  If the municipality expends public funds in order to abate a nuisance or correct a violation on a commercial property in situations in which the creditor was given appropriate notice, but failed to abate the nuisance or correct the violation as directed, the bill provides the municipality with the same recourse against the creditor as it would have against the title owner of the property to </w:t>
      </w:r>
      <w:r w:rsidR="0015134F">
        <w:t>enforce</w:t>
      </w:r>
      <w:r>
        <w:t xml:space="preserve"> a lien pursuant to current law.</w:t>
      </w:r>
    </w:p>
    <w:p w:rsidR="00B006CF" w:rsidRDefault="00B006CF" w:rsidP="00F96FF1">
      <w:pPr>
        <w:tabs>
          <w:tab w:val="left" w:pos="360"/>
          <w:tab w:val="left" w:pos="720"/>
          <w:tab w:val="left" w:pos="1440"/>
          <w:tab w:val="left" w:pos="2160"/>
          <w:tab w:val="left" w:pos="2880"/>
          <w:tab w:val="left" w:pos="3600"/>
          <w:tab w:val="left" w:pos="4320"/>
          <w:tab w:val="left" w:pos="5040"/>
        </w:tabs>
      </w:pPr>
      <w:r>
        <w:tab/>
        <w:t xml:space="preserve">The bill also authorizes a municipality to adopt an ordinance to: (1) create a property registration program for the identification and monitoring of residential and commercial properties in foreclosure; (2) regulate the care, maintenance, security, and upkeep of the exterior of vacant and abandoned residential and commercial properties in foreclosure; and (3) impose property registration fees on creditors, on an annual or semi-annual basis.  </w:t>
      </w:r>
    </w:p>
    <w:p w:rsidR="00F96FF1" w:rsidRDefault="00F96FF1" w:rsidP="00F96FF1">
      <w:pPr>
        <w:tabs>
          <w:tab w:val="left" w:pos="360"/>
          <w:tab w:val="left" w:pos="720"/>
          <w:tab w:val="left" w:pos="1440"/>
          <w:tab w:val="left" w:pos="2160"/>
          <w:tab w:val="left" w:pos="2880"/>
          <w:tab w:val="left" w:pos="3600"/>
          <w:tab w:val="left" w:pos="4320"/>
          <w:tab w:val="left" w:pos="5040"/>
        </w:tabs>
      </w:pPr>
    </w:p>
    <w:p w:rsidR="00F96FF1" w:rsidRDefault="00F96FF1" w:rsidP="00F96FF1">
      <w:pPr>
        <w:tabs>
          <w:tab w:val="left" w:pos="360"/>
          <w:tab w:val="left" w:pos="720"/>
          <w:tab w:val="left" w:pos="1440"/>
          <w:tab w:val="left" w:pos="2160"/>
          <w:tab w:val="left" w:pos="2880"/>
          <w:tab w:val="left" w:pos="3600"/>
          <w:tab w:val="left" w:pos="4320"/>
          <w:tab w:val="left" w:pos="5040"/>
        </w:tabs>
      </w:pPr>
    </w:p>
    <w:p w:rsidR="00F96FF1" w:rsidRDefault="00F96FF1" w:rsidP="00F96FF1">
      <w:pPr>
        <w:pStyle w:val="SectionHeading"/>
        <w:tabs>
          <w:tab w:val="left" w:pos="360"/>
          <w:tab w:val="left" w:pos="720"/>
          <w:tab w:val="left" w:pos="1440"/>
          <w:tab w:val="left" w:pos="2160"/>
          <w:tab w:val="left" w:pos="2880"/>
          <w:tab w:val="left" w:pos="3600"/>
          <w:tab w:val="left" w:pos="4320"/>
          <w:tab w:val="left" w:pos="5040"/>
        </w:tabs>
      </w:pPr>
      <w:r>
        <w:t>FISCAL ANALYSIS</w:t>
      </w:r>
    </w:p>
    <w:p w:rsidR="00F96FF1" w:rsidRDefault="00F96FF1" w:rsidP="00F96FF1">
      <w:pPr>
        <w:tabs>
          <w:tab w:val="left" w:pos="360"/>
          <w:tab w:val="left" w:pos="720"/>
          <w:tab w:val="left" w:pos="1440"/>
          <w:tab w:val="left" w:pos="2160"/>
          <w:tab w:val="left" w:pos="2880"/>
          <w:tab w:val="left" w:pos="3600"/>
          <w:tab w:val="left" w:pos="4320"/>
          <w:tab w:val="left" w:pos="5040"/>
        </w:tabs>
      </w:pPr>
    </w:p>
    <w:p w:rsidR="00F96FF1" w:rsidRDefault="00F96FF1" w:rsidP="00F96FF1">
      <w:pPr>
        <w:pStyle w:val="InterSectionHeading"/>
        <w:tabs>
          <w:tab w:val="left" w:pos="720"/>
          <w:tab w:val="left" w:pos="1440"/>
          <w:tab w:val="left" w:pos="2160"/>
          <w:tab w:val="left" w:pos="2880"/>
          <w:tab w:val="left" w:pos="3600"/>
          <w:tab w:val="left" w:pos="4320"/>
          <w:tab w:val="left" w:pos="5040"/>
        </w:tabs>
      </w:pPr>
      <w:r>
        <w:t>EXECUTIVE BRANCH</w:t>
      </w:r>
    </w:p>
    <w:p w:rsidR="00F96FF1" w:rsidRDefault="00F96FF1" w:rsidP="00F96FF1">
      <w:pPr>
        <w:tabs>
          <w:tab w:val="left" w:pos="360"/>
          <w:tab w:val="left" w:pos="720"/>
          <w:tab w:val="left" w:pos="1440"/>
          <w:tab w:val="left" w:pos="2160"/>
          <w:tab w:val="left" w:pos="2880"/>
          <w:tab w:val="left" w:pos="3600"/>
          <w:tab w:val="left" w:pos="4320"/>
          <w:tab w:val="left" w:pos="5040"/>
        </w:tabs>
      </w:pPr>
    </w:p>
    <w:p w:rsidR="00F96FF1" w:rsidRDefault="00F96FF1" w:rsidP="00F96FF1">
      <w:pPr>
        <w:tabs>
          <w:tab w:val="left" w:pos="360"/>
          <w:tab w:val="left" w:pos="720"/>
          <w:tab w:val="left" w:pos="1440"/>
          <w:tab w:val="left" w:pos="2160"/>
          <w:tab w:val="left" w:pos="2880"/>
          <w:tab w:val="left" w:pos="3600"/>
          <w:tab w:val="left" w:pos="4320"/>
          <w:tab w:val="left" w:pos="5040"/>
        </w:tabs>
      </w:pPr>
      <w:r>
        <w:tab/>
        <w:t>None received.</w:t>
      </w:r>
    </w:p>
    <w:p w:rsidR="00F96FF1" w:rsidRDefault="00F96FF1" w:rsidP="00F96FF1">
      <w:pPr>
        <w:tabs>
          <w:tab w:val="left" w:pos="360"/>
          <w:tab w:val="left" w:pos="720"/>
          <w:tab w:val="left" w:pos="1440"/>
          <w:tab w:val="left" w:pos="2160"/>
          <w:tab w:val="left" w:pos="2880"/>
          <w:tab w:val="left" w:pos="3600"/>
          <w:tab w:val="left" w:pos="4320"/>
          <w:tab w:val="left" w:pos="5040"/>
        </w:tabs>
      </w:pPr>
    </w:p>
    <w:p w:rsidR="00F96FF1" w:rsidRDefault="00F96FF1" w:rsidP="00F96FF1">
      <w:pPr>
        <w:pStyle w:val="InterSectionHeading"/>
        <w:tabs>
          <w:tab w:val="left" w:pos="720"/>
          <w:tab w:val="left" w:pos="1440"/>
          <w:tab w:val="left" w:pos="2160"/>
          <w:tab w:val="left" w:pos="2880"/>
          <w:tab w:val="left" w:pos="3600"/>
          <w:tab w:val="left" w:pos="4320"/>
          <w:tab w:val="left" w:pos="5040"/>
        </w:tabs>
      </w:pPr>
      <w:r>
        <w:t>OFFICE OF LEGISLATIVE SERVICES</w:t>
      </w:r>
    </w:p>
    <w:p w:rsidR="00F96FF1" w:rsidRDefault="00F96FF1" w:rsidP="00F96FF1">
      <w:pPr>
        <w:tabs>
          <w:tab w:val="left" w:pos="360"/>
          <w:tab w:val="left" w:pos="720"/>
          <w:tab w:val="left" w:pos="1440"/>
          <w:tab w:val="left" w:pos="2160"/>
          <w:tab w:val="left" w:pos="2880"/>
          <w:tab w:val="left" w:pos="3600"/>
          <w:tab w:val="left" w:pos="4320"/>
          <w:tab w:val="left" w:pos="5040"/>
        </w:tabs>
      </w:pPr>
    </w:p>
    <w:p w:rsidR="00B006CF" w:rsidRDefault="00F96FF1" w:rsidP="00B006CF">
      <w:pPr>
        <w:tabs>
          <w:tab w:val="left" w:pos="360"/>
          <w:tab w:val="left" w:pos="720"/>
          <w:tab w:val="left" w:pos="1440"/>
          <w:tab w:val="left" w:pos="2160"/>
          <w:tab w:val="left" w:pos="2880"/>
          <w:tab w:val="left" w:pos="3600"/>
          <w:tab w:val="left" w:pos="4320"/>
          <w:tab w:val="left" w:pos="5040"/>
        </w:tabs>
      </w:pPr>
      <w:r>
        <w:tab/>
        <w:t xml:space="preserve">The OLS </w:t>
      </w:r>
      <w:r w:rsidR="00703DA8">
        <w:t xml:space="preserve">determines that the bill may result in an indeterminate increase in annual local government expenditures for the administrative functions associated with the bill’s requirement that creditors provide notification to municipalities regarding foreclosures on commercial properties and for municipalities to provide notification to creditors of their responsibility to abate nuisances and violations of commercial properties that are in foreclosure.  </w:t>
      </w:r>
      <w:r w:rsidR="00B006CF" w:rsidRPr="00B006CF">
        <w:t>Local governments may expend additional monies to abate violations and nuisances to the extent that the creditor notification requirement increases the awareness of blighted commercial properties within a municipality and the municipality chooses to address these violations and nuisances.  The OLS notes that municipalities currently have this authority.</w:t>
      </w:r>
    </w:p>
    <w:p w:rsidR="00B006CF" w:rsidRDefault="00B006CF" w:rsidP="00B006CF">
      <w:pPr>
        <w:tabs>
          <w:tab w:val="left" w:pos="360"/>
          <w:tab w:val="left" w:pos="720"/>
          <w:tab w:val="left" w:pos="1440"/>
          <w:tab w:val="left" w:pos="2160"/>
          <w:tab w:val="left" w:pos="2880"/>
          <w:tab w:val="left" w:pos="3600"/>
          <w:tab w:val="left" w:pos="4320"/>
          <w:tab w:val="left" w:pos="5040"/>
        </w:tabs>
      </w:pPr>
      <w:r>
        <w:tab/>
      </w:r>
      <w:r w:rsidRPr="00B006CF">
        <w:t>Municipalities may impose penalties and enforce liens against creditors of commercial properties for failing to remedy violations and nuisances identified by the municipality, which would incr</w:t>
      </w:r>
      <w:r w:rsidR="00213287">
        <w:t>ease local government revenues.</w:t>
      </w:r>
      <w:r w:rsidRPr="00B006CF">
        <w:t xml:space="preserve">  Local governments with a property registration program created by ordinance may also impose fees on creditors, which would further increase annual revenues in these municipalities.  </w:t>
      </w:r>
    </w:p>
    <w:p w:rsidR="00786933" w:rsidRDefault="00786933">
      <w:pPr>
        <w:spacing w:line="240" w:lineRule="auto"/>
        <w:jc w:val="left"/>
      </w:pPr>
      <w: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F96FF1" w:rsidTr="00786933">
        <w:trPr>
          <w:trHeight w:val="403"/>
        </w:trPr>
        <w:tc>
          <w:tcPr>
            <w:tcW w:w="1260" w:type="dxa"/>
            <w:tcBorders>
              <w:top w:val="nil"/>
              <w:left w:val="nil"/>
              <w:bottom w:val="nil"/>
              <w:right w:val="nil"/>
            </w:tcBorders>
          </w:tcPr>
          <w:p w:rsidR="00F96FF1" w:rsidRDefault="00F96FF1" w:rsidP="00EA32A1">
            <w:pPr>
              <w:pStyle w:val="10pointItalics"/>
              <w:rPr>
                <w:sz w:val="24"/>
              </w:rPr>
            </w:pPr>
            <w:r>
              <w:lastRenderedPageBreak/>
              <w:t>Section:</w:t>
            </w:r>
          </w:p>
        </w:tc>
        <w:tc>
          <w:tcPr>
            <w:tcW w:w="8100" w:type="dxa"/>
            <w:tcBorders>
              <w:top w:val="nil"/>
              <w:left w:val="nil"/>
              <w:bottom w:val="nil"/>
              <w:right w:val="nil"/>
            </w:tcBorders>
          </w:tcPr>
          <w:p w:rsidR="00F96FF1" w:rsidRDefault="00F96FF1" w:rsidP="00EA32A1">
            <w:pPr>
              <w:pStyle w:val="10pointItalics"/>
              <w:rPr>
                <w:sz w:val="24"/>
              </w:rPr>
            </w:pPr>
            <w:r>
              <w:t>Local Government</w:t>
            </w:r>
          </w:p>
        </w:tc>
      </w:tr>
      <w:tr w:rsidR="00F96FF1" w:rsidTr="00786933">
        <w:trPr>
          <w:trHeight w:val="403"/>
        </w:trPr>
        <w:tc>
          <w:tcPr>
            <w:tcW w:w="1260" w:type="dxa"/>
            <w:tcBorders>
              <w:top w:val="nil"/>
              <w:left w:val="nil"/>
              <w:bottom w:val="nil"/>
              <w:right w:val="nil"/>
            </w:tcBorders>
          </w:tcPr>
          <w:p w:rsidR="00F96FF1" w:rsidRDefault="00F96FF1" w:rsidP="00EA32A1">
            <w:pPr>
              <w:pStyle w:val="10pointItalics"/>
              <w:rPr>
                <w:sz w:val="24"/>
              </w:rPr>
            </w:pPr>
            <w:r>
              <w:t>Analyst:</w:t>
            </w:r>
          </w:p>
        </w:tc>
        <w:tc>
          <w:tcPr>
            <w:tcW w:w="8100" w:type="dxa"/>
            <w:tcBorders>
              <w:top w:val="nil"/>
              <w:left w:val="nil"/>
              <w:bottom w:val="nil"/>
              <w:right w:val="nil"/>
            </w:tcBorders>
          </w:tcPr>
          <w:p w:rsidR="00F96FF1" w:rsidRDefault="00F96FF1" w:rsidP="00EA32A1">
            <w:pPr>
              <w:pStyle w:val="10pointItalics"/>
            </w:pPr>
            <w:bookmarkStart w:id="2" w:name="UserFullName"/>
            <w:bookmarkEnd w:id="2"/>
            <w:r>
              <w:t>Abigail Stoyer</w:t>
            </w:r>
          </w:p>
          <w:p w:rsidR="00F96FF1" w:rsidRDefault="00F96FF1" w:rsidP="00EA32A1">
            <w:pPr>
              <w:pStyle w:val="10pointItalics"/>
              <w:rPr>
                <w:sz w:val="24"/>
              </w:rPr>
            </w:pPr>
            <w:r>
              <w:t>Assistant Research Analyst</w:t>
            </w:r>
          </w:p>
        </w:tc>
      </w:tr>
      <w:tr w:rsidR="00F96FF1" w:rsidTr="00786933">
        <w:trPr>
          <w:trHeight w:val="403"/>
        </w:trPr>
        <w:tc>
          <w:tcPr>
            <w:tcW w:w="1260" w:type="dxa"/>
            <w:tcBorders>
              <w:top w:val="nil"/>
              <w:left w:val="nil"/>
              <w:bottom w:val="nil"/>
              <w:right w:val="nil"/>
            </w:tcBorders>
            <w:tcMar>
              <w:top w:w="72" w:type="dxa"/>
            </w:tcMar>
          </w:tcPr>
          <w:p w:rsidR="00F96FF1" w:rsidRDefault="00F96FF1" w:rsidP="00EA32A1">
            <w:pPr>
              <w:pStyle w:val="10pointItalics"/>
              <w:rPr>
                <w:sz w:val="24"/>
              </w:rPr>
            </w:pPr>
            <w:r>
              <w:t>Approved:</w:t>
            </w:r>
          </w:p>
        </w:tc>
        <w:tc>
          <w:tcPr>
            <w:tcW w:w="8100" w:type="dxa"/>
            <w:tcBorders>
              <w:top w:val="nil"/>
              <w:left w:val="nil"/>
              <w:bottom w:val="nil"/>
              <w:right w:val="nil"/>
            </w:tcBorders>
            <w:tcMar>
              <w:top w:w="72" w:type="dxa"/>
            </w:tcMar>
          </w:tcPr>
          <w:p w:rsidR="00F96FF1" w:rsidRDefault="00F96FF1" w:rsidP="00EA32A1">
            <w:pPr>
              <w:pStyle w:val="10pointItalics"/>
            </w:pPr>
            <w:r>
              <w:t>Thomas Koenig</w:t>
            </w:r>
          </w:p>
          <w:p w:rsidR="00F96FF1" w:rsidRDefault="00F96FF1" w:rsidP="00EA32A1">
            <w:pPr>
              <w:pStyle w:val="10pointItalics"/>
              <w:rPr>
                <w:sz w:val="24"/>
              </w:rPr>
            </w:pPr>
            <w:r>
              <w:t>Legislative Budget and Finance Officer</w:t>
            </w:r>
          </w:p>
        </w:tc>
      </w:tr>
    </w:tbl>
    <w:p w:rsidR="00F96FF1" w:rsidRDefault="00F96FF1" w:rsidP="00F96FF1">
      <w:pPr>
        <w:spacing w:line="287" w:lineRule="atLeast"/>
      </w:pPr>
    </w:p>
    <w:p w:rsidR="00590D1E" w:rsidRDefault="00590D1E" w:rsidP="00F96FF1">
      <w:pPr>
        <w:spacing w:line="287" w:lineRule="atLeast"/>
      </w:pPr>
    </w:p>
    <w:p w:rsidR="00F96FF1" w:rsidRDefault="00F96FF1" w:rsidP="00F96FF1">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F96FF1" w:rsidRDefault="00F96FF1" w:rsidP="00F96FF1">
      <w:pPr>
        <w:tabs>
          <w:tab w:val="left" w:pos="360"/>
          <w:tab w:val="left" w:pos="720"/>
          <w:tab w:val="left" w:pos="1440"/>
          <w:tab w:val="left" w:pos="2160"/>
          <w:tab w:val="left" w:pos="2880"/>
          <w:tab w:val="left" w:pos="3600"/>
          <w:tab w:val="left" w:pos="4320"/>
          <w:tab w:val="left" w:pos="5040"/>
        </w:tabs>
      </w:pPr>
    </w:p>
    <w:p w:rsidR="00F96FF1" w:rsidRDefault="00F96FF1" w:rsidP="00F96FF1">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F96FF1"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46B" w:rsidRDefault="000A346B">
      <w:r>
        <w:separator/>
      </w:r>
    </w:p>
  </w:endnote>
  <w:endnote w:type="continuationSeparator" w:id="0">
    <w:p w:rsidR="000A346B" w:rsidRDefault="000A3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C6B0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401881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46B" w:rsidRDefault="000A346B">
      <w:r>
        <w:separator/>
      </w:r>
    </w:p>
  </w:footnote>
  <w:footnote w:type="continuationSeparator" w:id="0">
    <w:p w:rsidR="000A346B" w:rsidRDefault="000A3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5F1" w:rsidRDefault="00D405F1" w:rsidP="00D405F1">
    <w:pPr>
      <w:pStyle w:val="Header"/>
      <w:jc w:val="center"/>
    </w:pPr>
    <w:r>
      <w:t>F</w:t>
    </w:r>
    <w:r w:rsidR="00786933">
      <w:t>E to A</w:t>
    </w:r>
    <w:r>
      <w:t>2877 [2R]</w:t>
    </w:r>
  </w:p>
  <w:p w:rsidR="00D405F1" w:rsidRDefault="00D405F1" w:rsidP="00D405F1">
    <w:pPr>
      <w:pStyle w:val="Header"/>
      <w:jc w:val="center"/>
    </w:pPr>
    <w:r>
      <w:fldChar w:fldCharType="begin"/>
    </w:r>
    <w:r>
      <w:instrText xml:space="preserve"> PAGE  \* MERGEFORMAT </w:instrText>
    </w:r>
    <w:r>
      <w:fldChar w:fldCharType="separate"/>
    </w:r>
    <w:r w:rsidR="003C6B00">
      <w:rPr>
        <w:noProof/>
      </w:rPr>
      <w:t>3</w:t>
    </w:r>
    <w:r>
      <w:fldChar w:fldCharType="end"/>
    </w:r>
  </w:p>
  <w:p w:rsidR="00D405F1" w:rsidRDefault="00D405F1" w:rsidP="00D405F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5F1"/>
    <w:rsid w:val="00011EDD"/>
    <w:rsid w:val="00013973"/>
    <w:rsid w:val="00016032"/>
    <w:rsid w:val="00031A27"/>
    <w:rsid w:val="000333DF"/>
    <w:rsid w:val="00036860"/>
    <w:rsid w:val="00042B0B"/>
    <w:rsid w:val="000629F9"/>
    <w:rsid w:val="00065F71"/>
    <w:rsid w:val="000701B0"/>
    <w:rsid w:val="00070F62"/>
    <w:rsid w:val="000820F8"/>
    <w:rsid w:val="0008691D"/>
    <w:rsid w:val="00095290"/>
    <w:rsid w:val="000A16EC"/>
    <w:rsid w:val="000A346B"/>
    <w:rsid w:val="000B1CCB"/>
    <w:rsid w:val="000C074D"/>
    <w:rsid w:val="000C50EA"/>
    <w:rsid w:val="000E08DD"/>
    <w:rsid w:val="000E17DB"/>
    <w:rsid w:val="000F0A12"/>
    <w:rsid w:val="000F231D"/>
    <w:rsid w:val="000F278B"/>
    <w:rsid w:val="000F2B57"/>
    <w:rsid w:val="001106B5"/>
    <w:rsid w:val="00113C32"/>
    <w:rsid w:val="00114591"/>
    <w:rsid w:val="00115411"/>
    <w:rsid w:val="001223E7"/>
    <w:rsid w:val="00125D26"/>
    <w:rsid w:val="00142AE8"/>
    <w:rsid w:val="00145CE4"/>
    <w:rsid w:val="0015134F"/>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287"/>
    <w:rsid w:val="00213CFF"/>
    <w:rsid w:val="002160AD"/>
    <w:rsid w:val="00220166"/>
    <w:rsid w:val="00231207"/>
    <w:rsid w:val="00234802"/>
    <w:rsid w:val="00241AAD"/>
    <w:rsid w:val="002427E6"/>
    <w:rsid w:val="002451F9"/>
    <w:rsid w:val="0025012B"/>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1E7F"/>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B00"/>
    <w:rsid w:val="003C6FD3"/>
    <w:rsid w:val="003D4453"/>
    <w:rsid w:val="003E753C"/>
    <w:rsid w:val="003F2530"/>
    <w:rsid w:val="00407C9E"/>
    <w:rsid w:val="0041022E"/>
    <w:rsid w:val="004149CC"/>
    <w:rsid w:val="00415FE8"/>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597F"/>
    <w:rsid w:val="004F7F49"/>
    <w:rsid w:val="00510824"/>
    <w:rsid w:val="00510A23"/>
    <w:rsid w:val="0051514A"/>
    <w:rsid w:val="00515AC5"/>
    <w:rsid w:val="00517913"/>
    <w:rsid w:val="00520DC2"/>
    <w:rsid w:val="00536F40"/>
    <w:rsid w:val="00543573"/>
    <w:rsid w:val="005470F3"/>
    <w:rsid w:val="00570997"/>
    <w:rsid w:val="00570BBC"/>
    <w:rsid w:val="00577AA8"/>
    <w:rsid w:val="005850CE"/>
    <w:rsid w:val="00590D1E"/>
    <w:rsid w:val="005A6D23"/>
    <w:rsid w:val="005C1947"/>
    <w:rsid w:val="005C1E9D"/>
    <w:rsid w:val="005E03E7"/>
    <w:rsid w:val="005E75AB"/>
    <w:rsid w:val="005F509A"/>
    <w:rsid w:val="00601F73"/>
    <w:rsid w:val="00605F97"/>
    <w:rsid w:val="00625D15"/>
    <w:rsid w:val="00651611"/>
    <w:rsid w:val="00653AE2"/>
    <w:rsid w:val="00653B8D"/>
    <w:rsid w:val="006671C7"/>
    <w:rsid w:val="006917CF"/>
    <w:rsid w:val="00692BD4"/>
    <w:rsid w:val="006B22F3"/>
    <w:rsid w:val="006B2FD5"/>
    <w:rsid w:val="006B5C2D"/>
    <w:rsid w:val="006B6C16"/>
    <w:rsid w:val="006C2875"/>
    <w:rsid w:val="006D6F6C"/>
    <w:rsid w:val="006F239A"/>
    <w:rsid w:val="006F505D"/>
    <w:rsid w:val="006F7203"/>
    <w:rsid w:val="00703DA8"/>
    <w:rsid w:val="00717095"/>
    <w:rsid w:val="00722AEF"/>
    <w:rsid w:val="00737A6C"/>
    <w:rsid w:val="00743F01"/>
    <w:rsid w:val="00744AE4"/>
    <w:rsid w:val="00763D60"/>
    <w:rsid w:val="007739AC"/>
    <w:rsid w:val="007833B1"/>
    <w:rsid w:val="00786933"/>
    <w:rsid w:val="007920AC"/>
    <w:rsid w:val="007A0F7E"/>
    <w:rsid w:val="007A42C5"/>
    <w:rsid w:val="007A65A1"/>
    <w:rsid w:val="007B1FCF"/>
    <w:rsid w:val="007B252A"/>
    <w:rsid w:val="007C4620"/>
    <w:rsid w:val="007D353D"/>
    <w:rsid w:val="007E337B"/>
    <w:rsid w:val="007E5EB3"/>
    <w:rsid w:val="00804E41"/>
    <w:rsid w:val="00811BC0"/>
    <w:rsid w:val="00813AC9"/>
    <w:rsid w:val="008231E8"/>
    <w:rsid w:val="008266B7"/>
    <w:rsid w:val="008274B3"/>
    <w:rsid w:val="00854B89"/>
    <w:rsid w:val="00855555"/>
    <w:rsid w:val="00855AB6"/>
    <w:rsid w:val="00881BED"/>
    <w:rsid w:val="00881EF3"/>
    <w:rsid w:val="00883E7C"/>
    <w:rsid w:val="00886261"/>
    <w:rsid w:val="00894971"/>
    <w:rsid w:val="008C0341"/>
    <w:rsid w:val="008C5554"/>
    <w:rsid w:val="008D5731"/>
    <w:rsid w:val="008E1349"/>
    <w:rsid w:val="008E4A96"/>
    <w:rsid w:val="0091595A"/>
    <w:rsid w:val="00934EB0"/>
    <w:rsid w:val="00937A78"/>
    <w:rsid w:val="00947B1E"/>
    <w:rsid w:val="00953C08"/>
    <w:rsid w:val="009709DC"/>
    <w:rsid w:val="00973C29"/>
    <w:rsid w:val="00974386"/>
    <w:rsid w:val="009B14F4"/>
    <w:rsid w:val="009B1B0D"/>
    <w:rsid w:val="009B1C3D"/>
    <w:rsid w:val="009B32DD"/>
    <w:rsid w:val="009B6FE9"/>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4163"/>
    <w:rsid w:val="00A9794C"/>
    <w:rsid w:val="00AB0440"/>
    <w:rsid w:val="00AB7530"/>
    <w:rsid w:val="00AC3FC5"/>
    <w:rsid w:val="00AD340B"/>
    <w:rsid w:val="00AE3966"/>
    <w:rsid w:val="00AF11C6"/>
    <w:rsid w:val="00B002D1"/>
    <w:rsid w:val="00B006CF"/>
    <w:rsid w:val="00B057F1"/>
    <w:rsid w:val="00B143A9"/>
    <w:rsid w:val="00B4569E"/>
    <w:rsid w:val="00B45879"/>
    <w:rsid w:val="00B551EB"/>
    <w:rsid w:val="00B55F3D"/>
    <w:rsid w:val="00B84AC8"/>
    <w:rsid w:val="00B90F8C"/>
    <w:rsid w:val="00B91C0B"/>
    <w:rsid w:val="00B97E24"/>
    <w:rsid w:val="00BA0BE6"/>
    <w:rsid w:val="00BA2122"/>
    <w:rsid w:val="00BA2F3A"/>
    <w:rsid w:val="00BB73CE"/>
    <w:rsid w:val="00BD3E4A"/>
    <w:rsid w:val="00BF47F9"/>
    <w:rsid w:val="00C07688"/>
    <w:rsid w:val="00C260AB"/>
    <w:rsid w:val="00C32933"/>
    <w:rsid w:val="00C3314D"/>
    <w:rsid w:val="00C75246"/>
    <w:rsid w:val="00C80B0B"/>
    <w:rsid w:val="00C91EDF"/>
    <w:rsid w:val="00C94F0E"/>
    <w:rsid w:val="00C97447"/>
    <w:rsid w:val="00CB0673"/>
    <w:rsid w:val="00CC6622"/>
    <w:rsid w:val="00D20F5D"/>
    <w:rsid w:val="00D376ED"/>
    <w:rsid w:val="00D405F1"/>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5A"/>
    <w:rsid w:val="00E262A3"/>
    <w:rsid w:val="00E32D2F"/>
    <w:rsid w:val="00E51E95"/>
    <w:rsid w:val="00E5461B"/>
    <w:rsid w:val="00E708C9"/>
    <w:rsid w:val="00E74E35"/>
    <w:rsid w:val="00E75B93"/>
    <w:rsid w:val="00E86D2A"/>
    <w:rsid w:val="00E87F32"/>
    <w:rsid w:val="00E9123C"/>
    <w:rsid w:val="00E95800"/>
    <w:rsid w:val="00EB1C90"/>
    <w:rsid w:val="00EC1EF8"/>
    <w:rsid w:val="00EC2547"/>
    <w:rsid w:val="00EC4079"/>
    <w:rsid w:val="00EC68B6"/>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6FF1"/>
    <w:rsid w:val="00FA6D2B"/>
    <w:rsid w:val="00FB15DB"/>
    <w:rsid w:val="00FB64F9"/>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278114C-2F55-4591-9D1D-63669308C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869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DBA79-456B-4FC9-8FA4-86F247AF4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753</Words>
  <Characters>4553</Characters>
  <Application>Microsoft Office Word</Application>
  <DocSecurity>0</DocSecurity>
  <Lines>116</Lines>
  <Paragraphs>45</Paragraphs>
  <ScaleCrop>false</ScaleCrop>
  <HeadingPairs>
    <vt:vector size="2" baseType="variant">
      <vt:variant>
        <vt:lpstr>Title</vt:lpstr>
      </vt:variant>
      <vt:variant>
        <vt:i4>1</vt:i4>
      </vt:variant>
    </vt:vector>
  </HeadingPairs>
  <TitlesOfParts>
    <vt:vector size="1" baseType="lpstr">
      <vt:lpstr>A2877 2R  FISCAL ESTIMATE</vt:lpstr>
    </vt:vector>
  </TitlesOfParts>
  <Manager>Abigail Stoyer; R224</Manager>
  <Company>Office of Legislative Services</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A2877 2R  FISCAL ESTIMATE</dc:title>
  <dc:creator>Assemblyman DANCER, Assemblywoman VAINIERI HUTTLE</dc:creator>
  <cp:keywords>A2877|3|LG |331|297|264|!||</cp:keywords>
  <dc:description>sponsor 1/12</dc:description>
  <cp:lastModifiedBy>Franks, Denise</cp:lastModifiedBy>
  <cp:revision>2</cp:revision>
  <dcterms:created xsi:type="dcterms:W3CDTF">2022-01-18T18:47:00Z</dcterms:created>
  <dcterms:modified xsi:type="dcterms:W3CDTF">2022-01-18T18:47:00Z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