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9E2" w:rsidRDefault="004179E2" w:rsidP="004179E2">
      <w:pPr>
        <w:pStyle w:val="bpuBill"/>
      </w:pPr>
      <w:bookmarkStart w:id="0" w:name="bpuFrontPg"/>
      <w:bookmarkStart w:id="1" w:name="_GoBack"/>
      <w:bookmarkEnd w:id="0"/>
      <w:bookmarkEnd w:id="1"/>
      <w:r>
        <w:t xml:space="preserve">ASSEMBLY, No. 2990 </w:t>
      </w:r>
    </w:p>
    <w:p w:rsidR="004179E2" w:rsidRPr="009D38FF" w:rsidRDefault="004179E2" w:rsidP="004179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017" r:id="rId7"/>
        </w:object>
      </w:r>
    </w:p>
    <w:p w:rsidR="004179E2" w:rsidRDefault="004179E2" w:rsidP="004179E2">
      <w:pPr>
        <w:pStyle w:val="bpuState"/>
      </w:pPr>
      <w:r>
        <w:t>STATE OF NEW JERSEY</w:t>
      </w:r>
    </w:p>
    <w:p w:rsidR="004179E2" w:rsidRDefault="004179E2" w:rsidP="004179E2">
      <w:pPr>
        <w:pStyle w:val="bpuLegislature"/>
      </w:pPr>
      <w:r>
        <w:t>219th LEGISLATURE</w:t>
      </w:r>
    </w:p>
    <w:p w:rsidR="004179E2" w:rsidRDefault="004179E2" w:rsidP="004179E2">
      <w:pPr>
        <w:pStyle w:val="bpuWpGraphic"/>
      </w:pPr>
      <w:r>
        <w:object w:dxaOrig="8985" w:dyaOrig="255">
          <v:shape id="_x0000_i1026" type="#_x0000_t75" style="width:6in;height:12pt" o:ole="">
            <v:imagedata r:id="rId6" o:title=""/>
          </v:shape>
          <o:OLEObject Type="Embed" ProgID="WPWin6.1" ShapeID="_x0000_i1026" DrawAspect="Content" ObjectID="_1643780018" r:id="rId8"/>
        </w:object>
      </w:r>
      <w:r>
        <w:t xml:space="preserve">  </w:t>
      </w:r>
    </w:p>
    <w:p w:rsidR="004179E2" w:rsidRDefault="004179E2" w:rsidP="004179E2">
      <w:pPr>
        <w:pStyle w:val="bpuIntro"/>
      </w:pPr>
      <w:r>
        <w:t>INTRODUCED FEBRUARY 20, 2020</w:t>
      </w:r>
    </w:p>
    <w:p w:rsidR="004179E2" w:rsidRDefault="004179E2" w:rsidP="004179E2">
      <w:pPr>
        <w:pStyle w:val="bpuIntro"/>
      </w:pPr>
    </w:p>
    <w:p w:rsidR="004179E2" w:rsidRDefault="004179E2" w:rsidP="004179E2">
      <w:pPr>
        <w:pStyle w:val="bpuIntro"/>
        <w:sectPr w:rsidR="004179E2" w:rsidSect="004179E2">
          <w:headerReference w:type="even" r:id="rId9"/>
          <w:headerReference w:type="default" r:id="rId10"/>
          <w:pgSz w:w="12240" w:h="20160" w:code="5"/>
          <w:pgMar w:top="2160" w:right="1440" w:bottom="1440" w:left="1440" w:header="72" w:footer="720" w:gutter="0"/>
          <w:pgNumType w:start="1"/>
          <w:cols w:space="720"/>
          <w:docGrid w:linePitch="360"/>
        </w:sectPr>
      </w:pPr>
    </w:p>
    <w:p w:rsidR="004179E2" w:rsidRDefault="004179E2" w:rsidP="004179E2">
      <w:pPr>
        <w:pStyle w:val="bpuIntro"/>
      </w:pPr>
    </w:p>
    <w:p w:rsidR="004179E2" w:rsidRDefault="004179E2" w:rsidP="004179E2">
      <w:pPr>
        <w:pStyle w:val="bpuSponsor"/>
      </w:pPr>
      <w:r>
        <w:t>Sponsored by:</w:t>
      </w:r>
    </w:p>
    <w:p w:rsidR="004179E2" w:rsidRDefault="004179E2" w:rsidP="004179E2">
      <w:pPr>
        <w:pStyle w:val="bpuSponsor"/>
      </w:pPr>
      <w:r>
        <w:t>Assemblyman  JOHN J. BURZICHELLI</w:t>
      </w:r>
    </w:p>
    <w:p w:rsidR="004179E2" w:rsidRDefault="004179E2" w:rsidP="004179E2">
      <w:pPr>
        <w:pStyle w:val="bpuSponsor"/>
      </w:pPr>
      <w:r>
        <w:t>District 3 (Cumberland, Gloucester and Salem)</w:t>
      </w:r>
    </w:p>
    <w:p w:rsidR="004179E2" w:rsidRDefault="004179E2" w:rsidP="004179E2">
      <w:pPr>
        <w:pStyle w:val="bpuSponsor"/>
      </w:pPr>
    </w:p>
    <w:p w:rsidR="004179E2" w:rsidRDefault="004179E2" w:rsidP="004179E2">
      <w:pPr>
        <w:pStyle w:val="bpuSponsor"/>
      </w:pPr>
    </w:p>
    <w:p w:rsidR="004179E2" w:rsidRDefault="004179E2" w:rsidP="004179E2">
      <w:pPr>
        <w:pStyle w:val="bpuSponsor"/>
      </w:pPr>
    </w:p>
    <w:p w:rsidR="004179E2" w:rsidRDefault="004179E2" w:rsidP="004179E2">
      <w:pPr>
        <w:pStyle w:val="bpuSponsor"/>
      </w:pPr>
    </w:p>
    <w:p w:rsidR="004179E2" w:rsidRDefault="004179E2" w:rsidP="004179E2">
      <w:pPr>
        <w:pStyle w:val="bpuSponsor"/>
      </w:pPr>
      <w:r>
        <w:t>SYNOPSIS</w:t>
      </w:r>
    </w:p>
    <w:p w:rsidR="004179E2" w:rsidRDefault="004179E2" w:rsidP="004179E2">
      <w:pPr>
        <w:pStyle w:val="bpuNormText"/>
      </w:pPr>
      <w:r>
        <w:tab/>
        <w:t xml:space="preserve">Limits liability for persons who deliver heating oil to unregulated tanks for discharges from that tank under certain circumstances. </w:t>
      </w:r>
    </w:p>
    <w:p w:rsidR="004179E2" w:rsidRDefault="004179E2" w:rsidP="004179E2">
      <w:pPr>
        <w:pStyle w:val="bpuNormText"/>
      </w:pPr>
    </w:p>
    <w:p w:rsidR="004179E2" w:rsidRDefault="004179E2" w:rsidP="004179E2">
      <w:pPr>
        <w:pStyle w:val="bpuSponsor"/>
      </w:pPr>
      <w:r>
        <w:t xml:space="preserve">CURRENT VERSION OF TEXT </w:t>
      </w:r>
    </w:p>
    <w:p w:rsidR="004179E2" w:rsidRDefault="004179E2" w:rsidP="004179E2">
      <w:pPr>
        <w:pStyle w:val="bpuNormText"/>
      </w:pPr>
      <w:r>
        <w:tab/>
        <w:t>As introduced.</w:t>
      </w:r>
    </w:p>
    <w:p w:rsidR="004179E2" w:rsidRDefault="004179E2" w:rsidP="004179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79E2" w:rsidRDefault="004179E2" w:rsidP="008916EC">
      <w:pPr>
        <w:pStyle w:val="FronterPage"/>
        <w:tabs>
          <w:tab w:val="clear" w:pos="720"/>
          <w:tab w:val="clear" w:pos="1440"/>
          <w:tab w:val="clear" w:pos="2160"/>
          <w:tab w:val="clear" w:pos="2880"/>
          <w:tab w:val="clear" w:pos="3600"/>
          <w:tab w:val="clear" w:pos="4320"/>
          <w:tab w:val="clear" w:pos="5040"/>
        </w:tabs>
        <w:sectPr w:rsidR="004179E2" w:rsidSect="004179E2">
          <w:type w:val="continuous"/>
          <w:pgSz w:w="12240" w:h="20160" w:code="5"/>
          <w:pgMar w:top="1440" w:right="2275" w:bottom="1440" w:left="2275" w:header="72" w:footer="720" w:gutter="0"/>
          <w:pgNumType w:start="1"/>
          <w:cols w:space="720"/>
          <w:docGrid w:linePitch="360"/>
        </w:sectPr>
      </w:pPr>
    </w:p>
    <w:p w:rsidR="000957B4" w:rsidRPr="00677316" w:rsidRDefault="000957B4" w:rsidP="000957B4">
      <w:pPr>
        <w:pStyle w:val="HangingAnAct"/>
        <w:rPr>
          <w:rStyle w:val="HangingAnActChar"/>
        </w:rPr>
      </w:pPr>
      <w:r w:rsidRPr="000957B4">
        <w:rPr>
          <w:rStyle w:val="BillHead"/>
        </w:rPr>
        <w:lastRenderedPageBreak/>
        <w:t>An Act</w:t>
      </w:r>
      <w:r w:rsidRPr="006B7FA7">
        <w:rPr>
          <w:rStyle w:val="HangingAnActChar"/>
        </w:rPr>
        <w:t xml:space="preserve"> </w:t>
      </w:r>
      <w:r>
        <w:rPr>
          <w:rStyle w:val="HangingAnActChar"/>
        </w:rPr>
        <w:t xml:space="preserve">concerning liability for discharges from unregulated heating oil tanks, and supplementing P.L.1976, c.141 (C.58:10-23.11 et seq.).  </w:t>
      </w:r>
    </w:p>
    <w:p w:rsidR="000957B4" w:rsidRPr="00D71D68" w:rsidRDefault="000957B4" w:rsidP="000957B4"/>
    <w:p w:rsidR="000957B4" w:rsidRPr="00AA7880" w:rsidRDefault="000957B4" w:rsidP="000957B4">
      <w:r>
        <w:tab/>
      </w:r>
      <w:r>
        <w:rPr>
          <w:rStyle w:val="BillHeading2"/>
        </w:rPr>
        <w:t xml:space="preserve">Be It Enacted </w:t>
      </w:r>
      <w:r>
        <w:rPr>
          <w:rStyle w:val="BillLanguage"/>
        </w:rPr>
        <w:t>by the Senate and General Assembly of the State of New Jersey:</w:t>
      </w:r>
    </w:p>
    <w:p w:rsidR="000957B4" w:rsidRPr="00D71D68" w:rsidRDefault="000957B4" w:rsidP="000957B4"/>
    <w:p w:rsidR="000957B4" w:rsidRDefault="000957B4" w:rsidP="000957B4">
      <w:r>
        <w:tab/>
        <w:t>1.</w:t>
      </w:r>
      <w:r>
        <w:tab/>
        <w:t xml:space="preserve">Notwithstanding the provisions of section 8 of P.L.1976, c.141 (C.58:10-23.11g), any other law, or common law, a person who delivers heating oil to an unregulated heating oil tank shall not be liable for cleanup and removal costs or for direct or indirect damages due to the discharge of heating oil from that heating oil tank unless the person knew or should have known that the delivery of heating oil would result in the discharge of a hazardous substance from that tank.  </w:t>
      </w:r>
    </w:p>
    <w:p w:rsidR="000957B4" w:rsidRDefault="000957B4" w:rsidP="000957B4"/>
    <w:p w:rsidR="000957B4" w:rsidRPr="00AA7880" w:rsidRDefault="000957B4" w:rsidP="000957B4">
      <w:r>
        <w:tab/>
        <w:t>2.</w:t>
      </w:r>
      <w:r>
        <w:tab/>
        <w:t>This act shall take effect immediately.</w:t>
      </w:r>
    </w:p>
    <w:p w:rsidR="000957B4" w:rsidRDefault="000957B4" w:rsidP="000957B4"/>
    <w:p w:rsidR="000957B4" w:rsidRPr="00CE7BD8" w:rsidRDefault="000957B4" w:rsidP="000957B4"/>
    <w:p w:rsidR="000957B4" w:rsidRDefault="000957B4" w:rsidP="000957B4">
      <w:pPr>
        <w:jc w:val="center"/>
      </w:pPr>
      <w:r w:rsidRPr="00D71D68">
        <w:t>STATEMENT</w:t>
      </w:r>
    </w:p>
    <w:p w:rsidR="000957B4" w:rsidRPr="00AA7880" w:rsidRDefault="000957B4" w:rsidP="000957B4">
      <w:pPr>
        <w:jc w:val="center"/>
      </w:pPr>
    </w:p>
    <w:p w:rsidR="000957B4" w:rsidRDefault="000957B4" w:rsidP="007F68A3">
      <w:r>
        <w:tab/>
        <w:t xml:space="preserve">This bill would supplement the "Spill Compensation and Control Act" to provide that notwithstanding the liability provisions of that act, any other law, or common law, a person who delivers heating oil to an unregulated heating oil tank would not be liable for cleanup and removal costs or for direct or indirect damages due to the discharge of heating oil from that heating oil tank unless the person knew or should have known that the delivery of heating oil would result in the discharge of a hazardous substance from that tank. </w:t>
      </w:r>
    </w:p>
    <w:sectPr w:rsidR="000957B4" w:rsidSect="004179E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9A0" w:rsidRDefault="008B29A0">
      <w:r>
        <w:separator/>
      </w:r>
    </w:p>
  </w:endnote>
  <w:endnote w:type="continuationSeparator" w:id="0">
    <w:p w:rsidR="008B29A0" w:rsidRDefault="008B2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9A0" w:rsidRDefault="008B29A0">
      <w:r>
        <w:separator/>
      </w:r>
    </w:p>
  </w:footnote>
  <w:footnote w:type="continuationSeparator" w:id="0">
    <w:p w:rsidR="008B29A0" w:rsidRDefault="008B2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25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79E2" w:rsidRDefault="004179E2" w:rsidP="004179E2">
    <w:pPr>
      <w:pStyle w:val="bpuHeadSpon"/>
    </w:pPr>
    <w:r w:rsidRPr="004179E2">
      <w:rPr>
        <w:rStyle w:val="bpuHeadSponChar"/>
      </w:rPr>
      <w:t>A2990</w:t>
    </w:r>
    <w:r>
      <w:t xml:space="preserve"> BURZICHELLI</w:t>
    </w:r>
  </w:p>
  <w:p w:rsidR="004179E2" w:rsidRDefault="004179E2" w:rsidP="004179E2">
    <w:pPr>
      <w:pStyle w:val="bpuHeadSpon"/>
    </w:pPr>
    <w:r>
      <w:fldChar w:fldCharType="begin"/>
    </w:r>
    <w:r>
      <w:instrText xml:space="preserve"> PAGE  \* MERGEFORMAT </w:instrText>
    </w:r>
    <w:r>
      <w:fldChar w:fldCharType="separate"/>
    </w:r>
    <w:r w:rsidR="007F68A3">
      <w:rPr>
        <w:noProof/>
      </w:rPr>
      <w:t>3</w:t>
    </w:r>
    <w:r>
      <w:fldChar w:fldCharType="end"/>
    </w:r>
  </w:p>
  <w:p w:rsidR="004179E2" w:rsidRDefault="004179E2" w:rsidP="004179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79E2" w:rsidRDefault="004179E2" w:rsidP="004179E2">
    <w:pPr>
      <w:pStyle w:val="bpuHeadSpon"/>
    </w:pPr>
    <w:r w:rsidRPr="004179E2">
      <w:rPr>
        <w:rStyle w:val="bpuHeadSponChar"/>
      </w:rPr>
      <w:t>A2990</w:t>
    </w:r>
    <w:r>
      <w:t xml:space="preserve"> BURZICHELLI</w:t>
    </w:r>
  </w:p>
  <w:p w:rsidR="004179E2" w:rsidRDefault="004179E2" w:rsidP="004179E2">
    <w:pPr>
      <w:pStyle w:val="bpuHeadSpon"/>
    </w:pPr>
    <w:r>
      <w:fldChar w:fldCharType="begin"/>
    </w:r>
    <w:r>
      <w:instrText xml:space="preserve"> PAGE  \* MERGEFORMAT </w:instrText>
    </w:r>
    <w:r>
      <w:fldChar w:fldCharType="separate"/>
    </w:r>
    <w:r w:rsidR="005B255C">
      <w:rPr>
        <w:noProof/>
      </w:rPr>
      <w:t>2</w:t>
    </w:r>
    <w:r>
      <w:fldChar w:fldCharType="end"/>
    </w:r>
  </w:p>
  <w:p w:rsidR="004179E2" w:rsidRDefault="004179E2" w:rsidP="004179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9A0"/>
    <w:rsid w:val="000051BD"/>
    <w:rsid w:val="00013DDD"/>
    <w:rsid w:val="00015576"/>
    <w:rsid w:val="000160A5"/>
    <w:rsid w:val="0002335B"/>
    <w:rsid w:val="0003549A"/>
    <w:rsid w:val="000367AE"/>
    <w:rsid w:val="00043B22"/>
    <w:rsid w:val="00054975"/>
    <w:rsid w:val="00057D20"/>
    <w:rsid w:val="0006197C"/>
    <w:rsid w:val="0006281F"/>
    <w:rsid w:val="0008141C"/>
    <w:rsid w:val="00094A55"/>
    <w:rsid w:val="000957B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FDE"/>
    <w:rsid w:val="002776B0"/>
    <w:rsid w:val="00286C7E"/>
    <w:rsid w:val="002A1029"/>
    <w:rsid w:val="002A3A1A"/>
    <w:rsid w:val="002A4692"/>
    <w:rsid w:val="002A51BA"/>
    <w:rsid w:val="002B2E26"/>
    <w:rsid w:val="002B3FE6"/>
    <w:rsid w:val="002C1E1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D4A"/>
    <w:rsid w:val="003C43EF"/>
    <w:rsid w:val="003C5A6B"/>
    <w:rsid w:val="003C7FB2"/>
    <w:rsid w:val="003D24DE"/>
    <w:rsid w:val="003E26D4"/>
    <w:rsid w:val="003E47BA"/>
    <w:rsid w:val="003F3B37"/>
    <w:rsid w:val="0040195A"/>
    <w:rsid w:val="00402DC0"/>
    <w:rsid w:val="00416C4B"/>
    <w:rsid w:val="0041751E"/>
    <w:rsid w:val="004179E2"/>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55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E8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8A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9A0"/>
    <w:rsid w:val="008C388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DF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E5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34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F4CE6E-4DC4-401B-AFFD-900AE154D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38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388F"/>
    <w:rPr>
      <w:rFonts w:ascii="Segoe UI" w:hAnsi="Segoe UI" w:cs="Segoe UI"/>
      <w:spacing w:val="4"/>
      <w:sz w:val="18"/>
      <w:szCs w:val="18"/>
    </w:rPr>
  </w:style>
  <w:style w:type="character" w:styleId="LineNumber">
    <w:name w:val="line number"/>
    <w:basedOn w:val="DefaultParagraphFont"/>
    <w:semiHidden/>
    <w:unhideWhenUsed/>
    <w:rsid w:val="00417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265</Words>
  <Characters>1372</Characters>
  <Application>Microsoft Office Word</Application>
  <DocSecurity>0</DocSecurity>
  <Lines>54</Lines>
  <Paragraphs>17</Paragraphs>
  <ScaleCrop>false</ScaleCrop>
  <HeadingPairs>
    <vt:vector size="2" baseType="variant">
      <vt:variant>
        <vt:lpstr>Title</vt:lpstr>
      </vt:variant>
      <vt:variant>
        <vt:i4>1</vt:i4>
      </vt:variant>
    </vt:vector>
  </HeadingPairs>
  <TitlesOfParts>
    <vt:vector size="1" baseType="lpstr">
      <vt:lpstr>A2990</vt:lpstr>
    </vt:vector>
  </TitlesOfParts>
  <Manager>R56</Manager>
  <Company>NJ Office of Legislative Services</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A2990</dc:title>
  <dc:subject/>
  <dc:creator>Assemblyman  BURZICHELLI</dc:creator>
  <cp:keywords>A2990|2|EA |277|0|277|N|0|</cp:keywords>
  <dc:description>INTRODUCED FEBRUARY 20, 2020</dc:description>
  <cp:lastModifiedBy>Todaro, Vivian</cp:lastModifiedBy>
  <cp:revision>2</cp:revision>
  <cp:lastPrinted>2020-02-18T19:53:00Z</cp:lastPrinted>
  <dcterms:created xsi:type="dcterms:W3CDTF">2020-02-21T13:43:00Z</dcterms:created>
  <dcterms:modified xsi:type="dcterms:W3CDTF">2020-02-21T13:43:00Z</dcterms:modified>
  <cp:category>C.58:10-23.11g13_x000d_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