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1D090E" w:rsidP="00407C9E">
      <w:pPr>
        <w:pStyle w:val="NoteOrEstimate"/>
      </w:pPr>
      <w:r>
        <w:t>LEGISLATIVE FISCAL ESTIMATE</w:t>
      </w:r>
    </w:p>
    <w:p w:rsidR="003C5892" w:rsidRDefault="001D090E"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2991</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D75F97" w:rsidP="00D75F97">
      <w:pPr>
        <w:pStyle w:val="BillNo"/>
      </w:pPr>
      <w:r>
        <w:t>219th LEGISLATURE</w:t>
      </w:r>
    </w:p>
    <w:p w:rsidR="00353325" w:rsidRDefault="00353325" w:rsidP="00353325"/>
    <w:p w:rsidR="00D75F97" w:rsidRDefault="00D75F97" w:rsidP="00D75F97">
      <w:pPr>
        <w:jc w:val="center"/>
      </w:pPr>
      <w:r>
        <w:t>DATED: JUNE 17, 2021</w:t>
      </w:r>
    </w:p>
    <w:p w:rsidR="00D75F97" w:rsidRDefault="00D75F97" w:rsidP="00353325"/>
    <w:p w:rsidR="00D75F97" w:rsidRDefault="00D75F97"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rsidTr="002D4B69">
        <w:trPr>
          <w:trHeight w:val="576"/>
        </w:trPr>
        <w:tc>
          <w:tcPr>
            <w:tcW w:w="2316"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6929" w:type="dxa"/>
          </w:tcPr>
          <w:p w:rsidR="003C5892" w:rsidRDefault="002D4B69" w:rsidP="002D4B69">
            <w:r w:rsidRPr="0035337C">
              <w:t>Concerns local taxation of business personal property of local exchange telephone companies.</w:t>
            </w:r>
          </w:p>
        </w:tc>
      </w:tr>
      <w:tr w:rsidR="002D4B69" w:rsidTr="002D4B69">
        <w:trPr>
          <w:trHeight w:val="576"/>
        </w:trPr>
        <w:tc>
          <w:tcPr>
            <w:tcW w:w="2316" w:type="dxa"/>
          </w:tcPr>
          <w:p w:rsidR="002D4B69" w:rsidRPr="003C5892" w:rsidRDefault="002D4B69" w:rsidP="002D4B69">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6929" w:type="dxa"/>
          </w:tcPr>
          <w:p w:rsidR="002D4B69" w:rsidRDefault="002D4B69" w:rsidP="002D4B69">
            <w:r>
              <w:t xml:space="preserve">Recurring State and county revenue and expenditure decreases.  </w:t>
            </w:r>
          </w:p>
          <w:p w:rsidR="002D4B69" w:rsidRPr="0035337C" w:rsidRDefault="002D4B69" w:rsidP="002D4B69">
            <w:r>
              <w:t>Recurring municipal expenditure decrease and revenue increase</w:t>
            </w:r>
            <w:r w:rsidRPr="0035337C">
              <w:t>.</w:t>
            </w:r>
          </w:p>
        </w:tc>
      </w:tr>
      <w:tr w:rsidR="002D4B69" w:rsidTr="002D4B69">
        <w:trPr>
          <w:trHeight w:val="576"/>
        </w:trPr>
        <w:tc>
          <w:tcPr>
            <w:tcW w:w="2316" w:type="dxa"/>
          </w:tcPr>
          <w:p w:rsidR="002D4B69" w:rsidRPr="003C5892" w:rsidRDefault="002D4B69" w:rsidP="002D4B69">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6929" w:type="dxa"/>
          </w:tcPr>
          <w:p w:rsidR="002D4B69" w:rsidRDefault="002D4B69" w:rsidP="002D4B69">
            <w:r w:rsidRPr="0035337C">
              <w:t>Municipalities</w:t>
            </w:r>
            <w:r>
              <w:t>, Counties, and State Judiciary.</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4130"/>
        <w:gridCol w:w="5230"/>
        <w:gridCol w:w="15"/>
      </w:tblGrid>
      <w:tr w:rsidR="00C75246" w:rsidTr="002D4B69">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2D4B69" w:rsidTr="002D4B69">
        <w:trPr>
          <w:gridAfter w:val="1"/>
          <w:wAfter w:w="15" w:type="dxa"/>
          <w:trHeight w:val="410"/>
        </w:trPr>
        <w:tc>
          <w:tcPr>
            <w:tcW w:w="4130" w:type="dxa"/>
            <w:tcBorders>
              <w:top w:val="single" w:sz="6" w:space="0" w:color="auto"/>
              <w:left w:val="single" w:sz="6" w:space="0" w:color="auto"/>
              <w:bottom w:val="single" w:sz="12" w:space="0" w:color="auto"/>
              <w:right w:val="nil"/>
            </w:tcBorders>
            <w:shd w:val="pct20" w:color="auto" w:fill="auto"/>
            <w:vAlign w:val="bottom"/>
          </w:tcPr>
          <w:p w:rsidR="002D4B69" w:rsidRPr="00F11982" w:rsidRDefault="002D4B69"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230" w:type="dxa"/>
            <w:tcBorders>
              <w:top w:val="single" w:sz="6" w:space="0" w:color="auto"/>
              <w:left w:val="nil"/>
              <w:bottom w:val="single" w:sz="12" w:space="0" w:color="auto"/>
              <w:right w:val="single" w:sz="6" w:space="0" w:color="auto"/>
            </w:tcBorders>
            <w:shd w:val="pct20" w:color="auto" w:fill="auto"/>
            <w:vAlign w:val="bottom"/>
          </w:tcPr>
          <w:p w:rsidR="002D4B69" w:rsidRPr="00F11982" w:rsidRDefault="002D4B69" w:rsidP="002D7863">
            <w:pPr>
              <w:tabs>
                <w:tab w:val="left" w:pos="360"/>
                <w:tab w:val="left" w:pos="720"/>
                <w:tab w:val="left" w:pos="1440"/>
                <w:tab w:val="left" w:pos="2160"/>
                <w:tab w:val="left" w:pos="2880"/>
                <w:tab w:val="left" w:pos="3600"/>
                <w:tab w:val="left" w:pos="4320"/>
                <w:tab w:val="left" w:pos="5040"/>
              </w:tabs>
              <w:jc w:val="center"/>
              <w:rPr>
                <w:b/>
              </w:rPr>
            </w:pPr>
          </w:p>
        </w:tc>
      </w:tr>
      <w:tr w:rsidR="002D4B69" w:rsidTr="002D4B69">
        <w:trPr>
          <w:gridAfter w:val="1"/>
          <w:wAfter w:w="15" w:type="dxa"/>
          <w:trHeight w:val="410"/>
        </w:trPr>
        <w:tc>
          <w:tcPr>
            <w:tcW w:w="4130" w:type="dxa"/>
            <w:tcBorders>
              <w:top w:val="nil"/>
              <w:left w:val="single" w:sz="6" w:space="0" w:color="auto"/>
              <w:bottom w:val="nil"/>
              <w:right w:val="nil"/>
            </w:tcBorders>
            <w:tcMar>
              <w:bottom w:w="29" w:type="dxa"/>
            </w:tcMar>
            <w:vAlign w:val="bottom"/>
          </w:tcPr>
          <w:p w:rsidR="002D4B69" w:rsidRPr="00F11982" w:rsidRDefault="002D4B69" w:rsidP="002D4B69">
            <w:pPr>
              <w:tabs>
                <w:tab w:val="left" w:pos="360"/>
                <w:tab w:val="left" w:pos="720"/>
                <w:tab w:val="left" w:pos="1440"/>
                <w:tab w:val="left" w:pos="2160"/>
                <w:tab w:val="left" w:pos="2880"/>
                <w:tab w:val="left" w:pos="3600"/>
                <w:tab w:val="left" w:pos="4320"/>
                <w:tab w:val="left" w:pos="5040"/>
              </w:tabs>
              <w:rPr>
                <w:b/>
              </w:rPr>
            </w:pPr>
            <w:r>
              <w:rPr>
                <w:b/>
              </w:rPr>
              <w:t xml:space="preserve">State Expenditures </w:t>
            </w:r>
          </w:p>
        </w:tc>
        <w:tc>
          <w:tcPr>
            <w:tcW w:w="5230" w:type="dxa"/>
            <w:tcBorders>
              <w:top w:val="nil"/>
              <w:left w:val="nil"/>
              <w:bottom w:val="nil"/>
              <w:right w:val="single" w:sz="6" w:space="0" w:color="auto"/>
            </w:tcBorders>
            <w:tcMar>
              <w:bottom w:w="29" w:type="dxa"/>
            </w:tcMar>
            <w:vAlign w:val="bottom"/>
          </w:tcPr>
          <w:p w:rsidR="002D4B69" w:rsidRDefault="002D4B69" w:rsidP="002D4B69">
            <w:pPr>
              <w:tabs>
                <w:tab w:val="left" w:pos="360"/>
                <w:tab w:val="left" w:pos="720"/>
                <w:tab w:val="left" w:pos="1440"/>
                <w:tab w:val="left" w:pos="2160"/>
                <w:tab w:val="left" w:pos="2880"/>
                <w:tab w:val="left" w:pos="3600"/>
                <w:tab w:val="left" w:pos="4320"/>
                <w:tab w:val="left" w:pos="5040"/>
              </w:tabs>
              <w:jc w:val="center"/>
            </w:pPr>
            <w:r>
              <w:t>Indeterminate Recurring Decrease</w:t>
            </w:r>
          </w:p>
        </w:tc>
      </w:tr>
      <w:tr w:rsidR="002D4B69" w:rsidTr="002D4B69">
        <w:trPr>
          <w:gridAfter w:val="1"/>
          <w:wAfter w:w="15" w:type="dxa"/>
          <w:trHeight w:val="410"/>
        </w:trPr>
        <w:tc>
          <w:tcPr>
            <w:tcW w:w="4130" w:type="dxa"/>
            <w:tcBorders>
              <w:top w:val="nil"/>
              <w:left w:val="single" w:sz="6" w:space="0" w:color="auto"/>
              <w:bottom w:val="nil"/>
              <w:right w:val="nil"/>
            </w:tcBorders>
            <w:tcMar>
              <w:bottom w:w="29" w:type="dxa"/>
            </w:tcMar>
            <w:vAlign w:val="bottom"/>
          </w:tcPr>
          <w:p w:rsidR="002D4B69" w:rsidRDefault="002D4B69" w:rsidP="002D4B69">
            <w:pPr>
              <w:tabs>
                <w:tab w:val="left" w:pos="360"/>
                <w:tab w:val="left" w:pos="720"/>
                <w:tab w:val="left" w:pos="1440"/>
                <w:tab w:val="left" w:pos="2160"/>
                <w:tab w:val="left" w:pos="2880"/>
                <w:tab w:val="left" w:pos="3600"/>
                <w:tab w:val="left" w:pos="4320"/>
                <w:tab w:val="left" w:pos="5040"/>
              </w:tabs>
              <w:rPr>
                <w:b/>
              </w:rPr>
            </w:pPr>
            <w:r>
              <w:rPr>
                <w:b/>
              </w:rPr>
              <w:t>State Revenue</w:t>
            </w:r>
          </w:p>
        </w:tc>
        <w:tc>
          <w:tcPr>
            <w:tcW w:w="5230" w:type="dxa"/>
            <w:tcBorders>
              <w:top w:val="nil"/>
              <w:left w:val="nil"/>
              <w:bottom w:val="nil"/>
              <w:right w:val="single" w:sz="6" w:space="0" w:color="auto"/>
            </w:tcBorders>
            <w:tcMar>
              <w:bottom w:w="29" w:type="dxa"/>
            </w:tcMar>
            <w:vAlign w:val="bottom"/>
          </w:tcPr>
          <w:p w:rsidR="002D4B69" w:rsidRDefault="002D4B69" w:rsidP="002D4B69">
            <w:pPr>
              <w:tabs>
                <w:tab w:val="left" w:pos="360"/>
                <w:tab w:val="left" w:pos="720"/>
                <w:tab w:val="left" w:pos="1440"/>
                <w:tab w:val="left" w:pos="2160"/>
                <w:tab w:val="left" w:pos="2880"/>
                <w:tab w:val="left" w:pos="3600"/>
                <w:tab w:val="left" w:pos="4320"/>
                <w:tab w:val="left" w:pos="5040"/>
              </w:tabs>
              <w:jc w:val="center"/>
            </w:pPr>
            <w:r>
              <w:t>Indeterminate Recurring Decrease</w:t>
            </w:r>
          </w:p>
        </w:tc>
      </w:tr>
      <w:tr w:rsidR="002D4B69" w:rsidTr="002D4B69">
        <w:trPr>
          <w:gridAfter w:val="1"/>
          <w:wAfter w:w="15" w:type="dxa"/>
          <w:trHeight w:val="410"/>
        </w:trPr>
        <w:tc>
          <w:tcPr>
            <w:tcW w:w="4130" w:type="dxa"/>
            <w:tcBorders>
              <w:top w:val="nil"/>
              <w:left w:val="single" w:sz="6" w:space="0" w:color="auto"/>
              <w:bottom w:val="nil"/>
              <w:right w:val="nil"/>
            </w:tcBorders>
            <w:tcMar>
              <w:bottom w:w="29" w:type="dxa"/>
            </w:tcMar>
            <w:vAlign w:val="bottom"/>
          </w:tcPr>
          <w:p w:rsidR="002D4B69" w:rsidRPr="00F11982" w:rsidRDefault="002D4B69" w:rsidP="002D4B69">
            <w:pPr>
              <w:tabs>
                <w:tab w:val="left" w:pos="360"/>
                <w:tab w:val="left" w:pos="720"/>
                <w:tab w:val="left" w:pos="1440"/>
                <w:tab w:val="left" w:pos="2160"/>
                <w:tab w:val="left" w:pos="2880"/>
                <w:tab w:val="left" w:pos="3600"/>
                <w:tab w:val="left" w:pos="4320"/>
                <w:tab w:val="left" w:pos="5040"/>
              </w:tabs>
              <w:rPr>
                <w:b/>
              </w:rPr>
            </w:pPr>
            <w:r>
              <w:rPr>
                <w:b/>
              </w:rPr>
              <w:t>Municipal</w:t>
            </w:r>
            <w:r w:rsidRPr="00F11982">
              <w:rPr>
                <w:b/>
              </w:rPr>
              <w:t xml:space="preserve"> </w:t>
            </w:r>
            <w:r>
              <w:rPr>
                <w:b/>
              </w:rPr>
              <w:t>and County Expenditures</w:t>
            </w:r>
          </w:p>
        </w:tc>
        <w:tc>
          <w:tcPr>
            <w:tcW w:w="5230" w:type="dxa"/>
            <w:tcBorders>
              <w:top w:val="nil"/>
              <w:left w:val="nil"/>
              <w:bottom w:val="nil"/>
              <w:right w:val="single" w:sz="6" w:space="0" w:color="auto"/>
            </w:tcBorders>
            <w:tcMar>
              <w:bottom w:w="29" w:type="dxa"/>
            </w:tcMar>
            <w:vAlign w:val="bottom"/>
          </w:tcPr>
          <w:p w:rsidR="002D4B69" w:rsidRDefault="002D4B69" w:rsidP="002D4B69">
            <w:pPr>
              <w:tabs>
                <w:tab w:val="left" w:pos="360"/>
                <w:tab w:val="left" w:pos="720"/>
                <w:tab w:val="left" w:pos="1440"/>
                <w:tab w:val="left" w:pos="2160"/>
                <w:tab w:val="left" w:pos="2880"/>
                <w:tab w:val="left" w:pos="3600"/>
                <w:tab w:val="left" w:pos="4320"/>
                <w:tab w:val="left" w:pos="5040"/>
              </w:tabs>
              <w:jc w:val="center"/>
            </w:pPr>
            <w:r>
              <w:t>Indeterminate Recurring Decrease</w:t>
            </w:r>
          </w:p>
        </w:tc>
      </w:tr>
      <w:tr w:rsidR="002D4B69" w:rsidTr="002D4B69">
        <w:trPr>
          <w:gridAfter w:val="1"/>
          <w:wAfter w:w="15" w:type="dxa"/>
          <w:trHeight w:val="410"/>
        </w:trPr>
        <w:tc>
          <w:tcPr>
            <w:tcW w:w="4130" w:type="dxa"/>
            <w:tcBorders>
              <w:top w:val="nil"/>
              <w:left w:val="single" w:sz="6" w:space="0" w:color="auto"/>
              <w:bottom w:val="nil"/>
              <w:right w:val="nil"/>
            </w:tcBorders>
            <w:tcMar>
              <w:bottom w:w="29" w:type="dxa"/>
            </w:tcMar>
            <w:vAlign w:val="bottom"/>
          </w:tcPr>
          <w:p w:rsidR="002D4B69" w:rsidRDefault="002D4B69" w:rsidP="002D4B69">
            <w:pPr>
              <w:tabs>
                <w:tab w:val="left" w:pos="360"/>
                <w:tab w:val="left" w:pos="720"/>
                <w:tab w:val="left" w:pos="1440"/>
                <w:tab w:val="left" w:pos="2160"/>
                <w:tab w:val="left" w:pos="2880"/>
                <w:tab w:val="left" w:pos="3600"/>
                <w:tab w:val="left" w:pos="4320"/>
                <w:tab w:val="left" w:pos="5040"/>
              </w:tabs>
              <w:rPr>
                <w:b/>
              </w:rPr>
            </w:pPr>
            <w:r>
              <w:rPr>
                <w:b/>
              </w:rPr>
              <w:t xml:space="preserve">County </w:t>
            </w:r>
            <w:r w:rsidRPr="00F11982">
              <w:rPr>
                <w:b/>
              </w:rPr>
              <w:t>Revenue</w:t>
            </w:r>
          </w:p>
        </w:tc>
        <w:tc>
          <w:tcPr>
            <w:tcW w:w="5230" w:type="dxa"/>
            <w:tcBorders>
              <w:top w:val="nil"/>
              <w:left w:val="nil"/>
              <w:bottom w:val="nil"/>
              <w:right w:val="single" w:sz="6" w:space="0" w:color="auto"/>
            </w:tcBorders>
            <w:tcMar>
              <w:bottom w:w="29" w:type="dxa"/>
            </w:tcMar>
            <w:vAlign w:val="bottom"/>
          </w:tcPr>
          <w:p w:rsidR="002D4B69" w:rsidRDefault="002D4B69" w:rsidP="002D4B69">
            <w:pPr>
              <w:tabs>
                <w:tab w:val="left" w:pos="360"/>
                <w:tab w:val="left" w:pos="720"/>
                <w:tab w:val="left" w:pos="1440"/>
                <w:tab w:val="left" w:pos="2160"/>
                <w:tab w:val="left" w:pos="2880"/>
                <w:tab w:val="left" w:pos="3600"/>
                <w:tab w:val="left" w:pos="4320"/>
                <w:tab w:val="left" w:pos="5040"/>
              </w:tabs>
              <w:jc w:val="center"/>
            </w:pPr>
            <w:r>
              <w:t>Indeterminate Recurring Decrease</w:t>
            </w:r>
          </w:p>
        </w:tc>
      </w:tr>
      <w:tr w:rsidR="002D4B69" w:rsidTr="002D4B69">
        <w:trPr>
          <w:gridAfter w:val="1"/>
          <w:wAfter w:w="15" w:type="dxa"/>
          <w:trHeight w:val="410"/>
        </w:trPr>
        <w:tc>
          <w:tcPr>
            <w:tcW w:w="4130" w:type="dxa"/>
            <w:tcBorders>
              <w:top w:val="nil"/>
              <w:left w:val="single" w:sz="6" w:space="0" w:color="auto"/>
              <w:bottom w:val="nil"/>
              <w:right w:val="nil"/>
            </w:tcBorders>
            <w:tcMar>
              <w:bottom w:w="29" w:type="dxa"/>
            </w:tcMar>
            <w:vAlign w:val="bottom"/>
          </w:tcPr>
          <w:p w:rsidR="002D4B69" w:rsidRDefault="002D4B69" w:rsidP="002D4B69">
            <w:pPr>
              <w:tabs>
                <w:tab w:val="left" w:pos="360"/>
                <w:tab w:val="left" w:pos="720"/>
                <w:tab w:val="left" w:pos="1440"/>
                <w:tab w:val="left" w:pos="2160"/>
                <w:tab w:val="left" w:pos="2880"/>
                <w:tab w:val="left" w:pos="3600"/>
                <w:tab w:val="left" w:pos="4320"/>
                <w:tab w:val="left" w:pos="5040"/>
              </w:tabs>
              <w:rPr>
                <w:b/>
              </w:rPr>
            </w:pPr>
            <w:r>
              <w:rPr>
                <w:b/>
              </w:rPr>
              <w:t xml:space="preserve">Municipal </w:t>
            </w:r>
            <w:r w:rsidRPr="00F11982">
              <w:rPr>
                <w:b/>
              </w:rPr>
              <w:t>Revenue</w:t>
            </w:r>
          </w:p>
        </w:tc>
        <w:tc>
          <w:tcPr>
            <w:tcW w:w="5230" w:type="dxa"/>
            <w:tcBorders>
              <w:top w:val="nil"/>
              <w:left w:val="nil"/>
              <w:bottom w:val="nil"/>
              <w:right w:val="single" w:sz="6" w:space="0" w:color="auto"/>
            </w:tcBorders>
            <w:tcMar>
              <w:bottom w:w="29" w:type="dxa"/>
            </w:tcMar>
            <w:vAlign w:val="bottom"/>
          </w:tcPr>
          <w:p w:rsidR="002D4B69" w:rsidRDefault="002D4B69" w:rsidP="002D4B69">
            <w:pPr>
              <w:tabs>
                <w:tab w:val="left" w:pos="360"/>
                <w:tab w:val="left" w:pos="720"/>
                <w:tab w:val="left" w:pos="1440"/>
                <w:tab w:val="left" w:pos="2160"/>
                <w:tab w:val="left" w:pos="2880"/>
                <w:tab w:val="left" w:pos="3600"/>
                <w:tab w:val="left" w:pos="4320"/>
                <w:tab w:val="left" w:pos="5040"/>
              </w:tabs>
              <w:jc w:val="center"/>
            </w:pPr>
            <w:r>
              <w:t>Indeterminate Recurring Increase</w:t>
            </w:r>
          </w:p>
        </w:tc>
      </w:tr>
      <w:tr w:rsidR="002D4B69" w:rsidTr="002D4B69">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2D4B69" w:rsidRDefault="002D4B69" w:rsidP="002D4B69">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2D4B69" w:rsidRDefault="002D4B69" w:rsidP="00D75F97">
      <w:pPr>
        <w:pStyle w:val="StyleBulletedSymbolsymbol"/>
        <w:spacing w:after="0"/>
      </w:pPr>
      <w:r w:rsidRPr="00E72860">
        <w:t xml:space="preserve">The </w:t>
      </w:r>
      <w:r>
        <w:t>Office of Legislative Services (</w:t>
      </w:r>
      <w:r w:rsidRPr="00E72860">
        <w:t>OLS</w:t>
      </w:r>
      <w:r>
        <w:t>)</w:t>
      </w:r>
      <w:r w:rsidRPr="00E72860">
        <w:t xml:space="preserve"> </w:t>
      </w:r>
      <w:r>
        <w:t>anticipates that the bill’s more restrictive standard for business personal property of local exchange telephone companies to be exempt from local property taxation will cause these companies to file fewer business personal property tax appeals.  As a result of the anticipated reduction in the number of appeal filings, counties and the State Judiciary will incur indeterminate recurring declines in filing fee revenue.  Fewer tax appeals will also reduce the related caseloads of municipalities, county boards of taxation, and the State Judiciary.  The lower caseloads, in turn, have the potential to decrease recurring municipal, county, and State operating expenditures by indeterminate amounts.     </w:t>
      </w:r>
    </w:p>
    <w:p w:rsidR="00D75F97" w:rsidRDefault="00D75F97" w:rsidP="00D75F97">
      <w:pPr>
        <w:pStyle w:val="StyleBulletedSymbolsymbol"/>
        <w:numPr>
          <w:ilvl w:val="0"/>
          <w:numId w:val="0"/>
        </w:numPr>
        <w:spacing w:after="0"/>
        <w:ind w:left="360" w:hanging="360"/>
      </w:pPr>
    </w:p>
    <w:p w:rsidR="002D4B69" w:rsidRDefault="002D4B69" w:rsidP="00D75F97">
      <w:pPr>
        <w:pStyle w:val="StyleBulletedSymbolsymbol"/>
        <w:spacing w:after="0"/>
      </w:pPr>
      <w:r>
        <w:t>Municipal revenues will increase by an indeterminate recurring amount from the awarding of attor</w:t>
      </w:r>
      <w:r w:rsidR="00AC6BFB">
        <w:t>ney</w:t>
      </w:r>
      <w:r>
        <w:t xml:space="preserve"> fees to any municipality that prevails in a tax appeal concerning the business personal property of a local exchange telephone company. </w:t>
      </w:r>
    </w:p>
    <w:p w:rsidR="00D75F97" w:rsidRDefault="00D75F97" w:rsidP="00D75F97">
      <w:pPr>
        <w:pStyle w:val="ListParagraph"/>
      </w:pPr>
    </w:p>
    <w:p w:rsidR="002D4B69" w:rsidRDefault="002D4B69" w:rsidP="00D75F97">
      <w:pPr>
        <w:pStyle w:val="StyleBulletedSymbolsymbol"/>
        <w:spacing w:after="0"/>
      </w:pPr>
      <w:r>
        <w:t>Any growth in a jurisdiction’s property tax base does not increase the property tax revenue of affected units of local government but reallocates the property tax levy of the units of local government among property taxpayers.</w:t>
      </w:r>
    </w:p>
    <w:p w:rsidR="002D4B69" w:rsidRPr="00255944" w:rsidRDefault="002D4B69" w:rsidP="002D4B69">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D4B69" w:rsidRDefault="002D4B69" w:rsidP="002D4B69">
      <w:pPr>
        <w:tabs>
          <w:tab w:val="left" w:pos="360"/>
          <w:tab w:val="left" w:pos="720"/>
          <w:tab w:val="left" w:pos="1440"/>
          <w:tab w:val="left" w:pos="2160"/>
          <w:tab w:val="left" w:pos="2880"/>
          <w:tab w:val="left" w:pos="3600"/>
          <w:tab w:val="left" w:pos="4320"/>
          <w:tab w:val="left" w:pos="5040"/>
        </w:tabs>
      </w:pPr>
    </w:p>
    <w:p w:rsidR="002D4B69" w:rsidRDefault="002D4B69" w:rsidP="002D4B69">
      <w:pPr>
        <w:tabs>
          <w:tab w:val="left" w:pos="360"/>
          <w:tab w:val="left" w:pos="720"/>
          <w:tab w:val="left" w:pos="1440"/>
          <w:tab w:val="left" w:pos="2160"/>
          <w:tab w:val="left" w:pos="2880"/>
          <w:tab w:val="left" w:pos="3600"/>
          <w:tab w:val="left" w:pos="4320"/>
          <w:tab w:val="left" w:pos="5040"/>
        </w:tabs>
      </w:pPr>
      <w:r>
        <w:tab/>
        <w:t xml:space="preserve">The bill expands the local property tax base to generally taxable categories of </w:t>
      </w:r>
      <w:r w:rsidRPr="00102533">
        <w:t>business personal property</w:t>
      </w:r>
      <w:r>
        <w:t xml:space="preserve"> owned by a </w:t>
      </w:r>
      <w:r w:rsidRPr="00102533">
        <w:t xml:space="preserve">telecommunications company </w:t>
      </w:r>
      <w:r>
        <w:t>that held the</w:t>
      </w:r>
      <w:r w:rsidRPr="00102533">
        <w:t xml:space="preserve"> regional monopoly on landline service </w:t>
      </w:r>
      <w:r>
        <w:t>before</w:t>
      </w:r>
      <w:r w:rsidRPr="00102533">
        <w:t xml:space="preserve"> the enactment of the federal Telecommunications Act o</w:t>
      </w:r>
      <w:r>
        <w:t>f 1996, or the corporate successor of such company.  Currently, that</w:t>
      </w:r>
      <w:r w:rsidRPr="00102533">
        <w:t xml:space="preserve"> company</w:t>
      </w:r>
      <w:r>
        <w:t xml:space="preserve">’s affected </w:t>
      </w:r>
      <w:r w:rsidRPr="00102533">
        <w:t>business personal property</w:t>
      </w:r>
      <w:r w:rsidRPr="00CA1C5B">
        <w:t xml:space="preserve"> </w:t>
      </w:r>
      <w:r w:rsidRPr="00102533">
        <w:t xml:space="preserve">is </w:t>
      </w:r>
      <w:r>
        <w:t>only taxable in a</w:t>
      </w:r>
      <w:r w:rsidRPr="00102533">
        <w:t xml:space="preserve"> municipality in which it provides dial tone and access to not less than 51 percent of the local telephone exchange.</w:t>
      </w:r>
      <w:r>
        <w:t xml:space="preserve">  </w:t>
      </w:r>
    </w:p>
    <w:p w:rsidR="002D4B69" w:rsidRDefault="002D4B69" w:rsidP="002D4B69">
      <w:pPr>
        <w:tabs>
          <w:tab w:val="left" w:pos="360"/>
          <w:tab w:val="left" w:pos="720"/>
          <w:tab w:val="left" w:pos="1440"/>
          <w:tab w:val="left" w:pos="2160"/>
          <w:tab w:val="left" w:pos="2880"/>
          <w:tab w:val="left" w:pos="3600"/>
          <w:tab w:val="left" w:pos="4320"/>
          <w:tab w:val="left" w:pos="5040"/>
        </w:tabs>
      </w:pPr>
      <w:r>
        <w:tab/>
        <w:t xml:space="preserve">The bill also requires a concerned </w:t>
      </w:r>
      <w:r w:rsidRPr="00102533">
        <w:t>telecommunications company</w:t>
      </w:r>
      <w:r>
        <w:t xml:space="preserve"> </w:t>
      </w:r>
      <w:r w:rsidRPr="00102533">
        <w:t xml:space="preserve">to pay </w:t>
      </w:r>
      <w:r>
        <w:t>a municipality’s</w:t>
      </w:r>
      <w:r w:rsidR="00AC6BFB">
        <w:t xml:space="preserve"> attorney</w:t>
      </w:r>
      <w:r w:rsidRPr="00102533">
        <w:t xml:space="preserve"> fees if </w:t>
      </w:r>
      <w:r>
        <w:t>the municipality prevails in legal action</w:t>
      </w:r>
      <w:r w:rsidRPr="00102533">
        <w:t xml:space="preserve"> involving a business personal property tax appeal filed </w:t>
      </w:r>
      <w:r>
        <w:t>by the company</w:t>
      </w:r>
      <w:r w:rsidRPr="00102533">
        <w:t>.</w:t>
      </w:r>
    </w:p>
    <w:p w:rsidR="002D4B69" w:rsidRDefault="002D4B69" w:rsidP="002D4B69">
      <w:pPr>
        <w:tabs>
          <w:tab w:val="left" w:pos="360"/>
          <w:tab w:val="left" w:pos="720"/>
          <w:tab w:val="left" w:pos="1440"/>
          <w:tab w:val="left" w:pos="2160"/>
          <w:tab w:val="left" w:pos="2880"/>
          <w:tab w:val="left" w:pos="3600"/>
          <w:tab w:val="left" w:pos="4320"/>
          <w:tab w:val="left" w:pos="5040"/>
        </w:tabs>
      </w:pPr>
      <w:r>
        <w:tab/>
        <w:t>The bill takes effect immediately and is retroactive to January 1, 2007.</w:t>
      </w:r>
    </w:p>
    <w:p w:rsidR="002D4B69" w:rsidRDefault="002D4B69" w:rsidP="002D4B69">
      <w:pPr>
        <w:tabs>
          <w:tab w:val="left" w:pos="360"/>
          <w:tab w:val="left" w:pos="720"/>
          <w:tab w:val="left" w:pos="1440"/>
          <w:tab w:val="left" w:pos="2160"/>
          <w:tab w:val="left" w:pos="2880"/>
          <w:tab w:val="left" w:pos="3600"/>
          <w:tab w:val="left" w:pos="4320"/>
          <w:tab w:val="left" w:pos="5040"/>
        </w:tabs>
      </w:pPr>
    </w:p>
    <w:p w:rsidR="002D4B69" w:rsidRDefault="002D4B69" w:rsidP="002D4B69">
      <w:pPr>
        <w:tabs>
          <w:tab w:val="left" w:pos="360"/>
          <w:tab w:val="left" w:pos="720"/>
          <w:tab w:val="left" w:pos="1440"/>
          <w:tab w:val="left" w:pos="2160"/>
          <w:tab w:val="left" w:pos="2880"/>
          <w:tab w:val="left" w:pos="3600"/>
          <w:tab w:val="left" w:pos="4320"/>
          <w:tab w:val="left" w:pos="5040"/>
        </w:tabs>
      </w:pPr>
    </w:p>
    <w:p w:rsidR="002D4B69" w:rsidRDefault="002D4B69" w:rsidP="002D4B69">
      <w:pPr>
        <w:pStyle w:val="SectionHeading"/>
        <w:tabs>
          <w:tab w:val="left" w:pos="360"/>
          <w:tab w:val="left" w:pos="720"/>
          <w:tab w:val="left" w:pos="1440"/>
          <w:tab w:val="left" w:pos="2160"/>
          <w:tab w:val="left" w:pos="2880"/>
          <w:tab w:val="left" w:pos="3600"/>
          <w:tab w:val="left" w:pos="4320"/>
          <w:tab w:val="left" w:pos="5040"/>
        </w:tabs>
      </w:pPr>
      <w:r>
        <w:t>FISCAL ANALYSIS</w:t>
      </w:r>
    </w:p>
    <w:p w:rsidR="002D4B69" w:rsidRDefault="002D4B69" w:rsidP="002D4B69">
      <w:pPr>
        <w:tabs>
          <w:tab w:val="left" w:pos="360"/>
          <w:tab w:val="left" w:pos="720"/>
          <w:tab w:val="left" w:pos="1440"/>
          <w:tab w:val="left" w:pos="2160"/>
          <w:tab w:val="left" w:pos="2880"/>
          <w:tab w:val="left" w:pos="3600"/>
          <w:tab w:val="left" w:pos="4320"/>
          <w:tab w:val="left" w:pos="5040"/>
        </w:tabs>
      </w:pPr>
    </w:p>
    <w:p w:rsidR="002D4B69" w:rsidRDefault="002D4B69" w:rsidP="002D4B69">
      <w:pPr>
        <w:pStyle w:val="InterSectionHeading"/>
        <w:tabs>
          <w:tab w:val="left" w:pos="720"/>
          <w:tab w:val="left" w:pos="1440"/>
          <w:tab w:val="left" w:pos="2160"/>
          <w:tab w:val="left" w:pos="2880"/>
          <w:tab w:val="left" w:pos="3600"/>
          <w:tab w:val="left" w:pos="4320"/>
          <w:tab w:val="left" w:pos="5040"/>
        </w:tabs>
      </w:pPr>
      <w:r>
        <w:t>EXECUTIVE BRANCH</w:t>
      </w:r>
    </w:p>
    <w:p w:rsidR="002D4B69" w:rsidRDefault="002D4B69" w:rsidP="002D4B69">
      <w:pPr>
        <w:tabs>
          <w:tab w:val="left" w:pos="360"/>
          <w:tab w:val="left" w:pos="720"/>
          <w:tab w:val="left" w:pos="1440"/>
          <w:tab w:val="left" w:pos="2160"/>
          <w:tab w:val="left" w:pos="2880"/>
          <w:tab w:val="left" w:pos="3600"/>
          <w:tab w:val="left" w:pos="4320"/>
          <w:tab w:val="left" w:pos="5040"/>
        </w:tabs>
      </w:pPr>
    </w:p>
    <w:p w:rsidR="002D4B69" w:rsidRDefault="002D4B69" w:rsidP="002D4B69">
      <w:pPr>
        <w:tabs>
          <w:tab w:val="left" w:pos="360"/>
          <w:tab w:val="left" w:pos="720"/>
          <w:tab w:val="left" w:pos="1440"/>
          <w:tab w:val="left" w:pos="2160"/>
          <w:tab w:val="left" w:pos="2880"/>
          <w:tab w:val="left" w:pos="3600"/>
          <w:tab w:val="left" w:pos="4320"/>
          <w:tab w:val="left" w:pos="5040"/>
        </w:tabs>
      </w:pPr>
      <w:r>
        <w:tab/>
        <w:t>None received.</w:t>
      </w:r>
    </w:p>
    <w:p w:rsidR="002D4B69" w:rsidRDefault="002D4B69" w:rsidP="002D4B69">
      <w:pPr>
        <w:tabs>
          <w:tab w:val="left" w:pos="360"/>
          <w:tab w:val="left" w:pos="720"/>
          <w:tab w:val="left" w:pos="1440"/>
          <w:tab w:val="left" w:pos="2160"/>
          <w:tab w:val="left" w:pos="2880"/>
          <w:tab w:val="left" w:pos="3600"/>
          <w:tab w:val="left" w:pos="4320"/>
          <w:tab w:val="left" w:pos="5040"/>
        </w:tabs>
      </w:pPr>
    </w:p>
    <w:p w:rsidR="002D4B69" w:rsidRDefault="002D4B69" w:rsidP="002D4B69">
      <w:pPr>
        <w:pStyle w:val="InterSectionHeading"/>
        <w:tabs>
          <w:tab w:val="left" w:pos="720"/>
          <w:tab w:val="left" w:pos="1440"/>
          <w:tab w:val="left" w:pos="2160"/>
          <w:tab w:val="left" w:pos="2880"/>
          <w:tab w:val="left" w:pos="3600"/>
          <w:tab w:val="left" w:pos="4320"/>
          <w:tab w:val="left" w:pos="5040"/>
        </w:tabs>
      </w:pPr>
      <w:r>
        <w:t>OFFICE OF LEGISLATIVE SERVICES</w:t>
      </w:r>
    </w:p>
    <w:p w:rsidR="002D4B69" w:rsidRDefault="002D4B69" w:rsidP="002D4B69">
      <w:pPr>
        <w:tabs>
          <w:tab w:val="left" w:pos="360"/>
          <w:tab w:val="left" w:pos="720"/>
          <w:tab w:val="left" w:pos="1440"/>
          <w:tab w:val="left" w:pos="2160"/>
          <w:tab w:val="left" w:pos="2880"/>
          <w:tab w:val="left" w:pos="3600"/>
          <w:tab w:val="left" w:pos="4320"/>
          <w:tab w:val="left" w:pos="5040"/>
        </w:tabs>
      </w:pPr>
    </w:p>
    <w:p w:rsidR="002D4B69" w:rsidRDefault="002D4B69" w:rsidP="002D4B69">
      <w:pPr>
        <w:tabs>
          <w:tab w:val="left" w:pos="360"/>
          <w:tab w:val="left" w:pos="720"/>
          <w:tab w:val="left" w:pos="1440"/>
          <w:tab w:val="left" w:pos="2160"/>
          <w:tab w:val="left" w:pos="2880"/>
          <w:tab w:val="left" w:pos="3600"/>
          <w:tab w:val="left" w:pos="4320"/>
          <w:tab w:val="left" w:pos="5040"/>
        </w:tabs>
      </w:pPr>
      <w:r>
        <w:tab/>
      </w:r>
      <w:r w:rsidRPr="00E72860">
        <w:t xml:space="preserve">The OLS </w:t>
      </w:r>
      <w:r>
        <w:t>anticipates that the bill’s more restrictive standard for business personal property of local exchange telephone companies to be exempt from local property taxation will cause these companies to file fewer business personal property tax appeals.  As a result of the anticipated reduction in the number of appeal filings, counties and the State Judiciary will incur indeterminate recurring declines in filing fee revenue.  Fewer tax appeals will also reduce the related caseloads of municipalities, county boards of taxation, and the State Judiciary.  The lower caseloads, in turn, have the potential to decrease recurring municipal, county, and State operating expenditures by indeterminate amounts.     </w:t>
      </w:r>
    </w:p>
    <w:p w:rsidR="00B4064B" w:rsidRDefault="002D4B69" w:rsidP="00B4064B">
      <w:pPr>
        <w:tabs>
          <w:tab w:val="left" w:pos="360"/>
          <w:tab w:val="left" w:pos="720"/>
          <w:tab w:val="left" w:pos="1440"/>
          <w:tab w:val="left" w:pos="2160"/>
          <w:tab w:val="left" w:pos="2880"/>
          <w:tab w:val="left" w:pos="3600"/>
          <w:tab w:val="left" w:pos="4320"/>
          <w:tab w:val="left" w:pos="5040"/>
        </w:tabs>
      </w:pPr>
      <w:r>
        <w:tab/>
        <w:t>In addition, the OLS determines that municipal revenues will increase by an indeterminate recurring amount</w:t>
      </w:r>
      <w:r w:rsidR="00AC6BFB">
        <w:t xml:space="preserve"> from the awarding of attorney</w:t>
      </w:r>
      <w:r>
        <w:t xml:space="preserve"> fees to any municipality that prevails in a tax appeal concerning the business personal property of a local exchange telephone company. </w:t>
      </w:r>
    </w:p>
    <w:p w:rsidR="00EF17BC" w:rsidRDefault="00B4064B" w:rsidP="00B4064B">
      <w:pPr>
        <w:tabs>
          <w:tab w:val="left" w:pos="360"/>
          <w:tab w:val="left" w:pos="720"/>
          <w:tab w:val="left" w:pos="1440"/>
          <w:tab w:val="left" w:pos="2160"/>
          <w:tab w:val="left" w:pos="2880"/>
          <w:tab w:val="left" w:pos="3600"/>
          <w:tab w:val="left" w:pos="4320"/>
          <w:tab w:val="left" w:pos="5040"/>
        </w:tabs>
      </w:pPr>
      <w:r>
        <w:tab/>
      </w:r>
      <w:r w:rsidR="002D4B69">
        <w:t>Lastly, the OLS notes that any growth in a jurisdiction’s property tax base does not increase the property tax revenue of affected units of local government but reallocates the property tax levy of the units of local government among property taxpayers.</w:t>
      </w:r>
    </w:p>
    <w:p w:rsidR="002D4B69" w:rsidRDefault="002D4B69" w:rsidP="002D4B69"/>
    <w:p w:rsidR="002D4B69" w:rsidRDefault="002D4B69" w:rsidP="002D4B69"/>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2D4B69" w:rsidP="00EF17BC">
            <w:pPr>
              <w:pStyle w:val="10pointItalics"/>
              <w:rPr>
                <w:sz w:val="24"/>
              </w:rPr>
            </w:pPr>
            <w:r>
              <w:t>Revenue, Finance, and Appropriations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9428A0" w:rsidP="00EF17BC">
            <w:pPr>
              <w:pStyle w:val="10pointItalics"/>
            </w:pPr>
            <w:bookmarkStart w:id="2" w:name="UserFullName"/>
            <w:bookmarkEnd w:id="2"/>
            <w:r>
              <w:t xml:space="preserve">Joseph </w:t>
            </w:r>
            <w:r w:rsidR="002D4B69">
              <w:t xml:space="preserve">A. </w:t>
            </w:r>
            <w:r>
              <w:t>Pezzulo</w:t>
            </w:r>
          </w:p>
          <w:p w:rsidR="00EF17BC" w:rsidRDefault="002D4B69" w:rsidP="00EF17BC">
            <w:pPr>
              <w:pStyle w:val="10pointItalics"/>
              <w:rPr>
                <w:sz w:val="24"/>
              </w:rPr>
            </w:pPr>
            <w:r>
              <w:t>Senior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FD2404" w:rsidRDefault="00FD2404" w:rsidP="00EF17BC">
      <w:pPr>
        <w:tabs>
          <w:tab w:val="left" w:pos="360"/>
          <w:tab w:val="left" w:pos="720"/>
          <w:tab w:val="left" w:pos="1440"/>
          <w:tab w:val="left" w:pos="2160"/>
          <w:tab w:val="left" w:pos="2880"/>
          <w:tab w:val="left" w:pos="3600"/>
          <w:tab w:val="left" w:pos="4320"/>
          <w:tab w:val="left" w:pos="5040"/>
        </w:tabs>
      </w:pPr>
    </w:p>
    <w:p w:rsidR="00EF17BC" w:rsidRDefault="001D090E"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1D090E">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2220" w:rsidRDefault="00E52220">
      <w:r>
        <w:separator/>
      </w:r>
    </w:p>
  </w:endnote>
  <w:endnote w:type="continuationSeparator" w:id="0">
    <w:p w:rsidR="00E52220" w:rsidRDefault="00E522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756999">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5444187"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2220" w:rsidRDefault="00E52220">
      <w:r>
        <w:separator/>
      </w:r>
    </w:p>
  </w:footnote>
  <w:footnote w:type="continuationSeparator" w:id="0">
    <w:p w:rsidR="00E52220" w:rsidRDefault="00E522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090E" w:rsidRDefault="001D090E" w:rsidP="001D090E">
    <w:pPr>
      <w:pStyle w:val="Header"/>
      <w:jc w:val="center"/>
    </w:pPr>
    <w:r>
      <w:t>F</w:t>
    </w:r>
    <w:r w:rsidR="00D75F97">
      <w:t>E to A</w:t>
    </w:r>
    <w:r>
      <w:t xml:space="preserve">2991 </w:t>
    </w:r>
  </w:p>
  <w:p w:rsidR="001D090E" w:rsidRDefault="001D090E" w:rsidP="001D090E">
    <w:pPr>
      <w:pStyle w:val="Header"/>
      <w:jc w:val="center"/>
    </w:pPr>
    <w:r>
      <w:fldChar w:fldCharType="begin"/>
    </w:r>
    <w:r>
      <w:instrText xml:space="preserve"> PAGE  \* MERGEFORMAT </w:instrText>
    </w:r>
    <w:r>
      <w:fldChar w:fldCharType="separate"/>
    </w:r>
    <w:r w:rsidR="00756999">
      <w:rPr>
        <w:noProof/>
      </w:rPr>
      <w:t>2</w:t>
    </w:r>
    <w:r>
      <w:fldChar w:fldCharType="end"/>
    </w:r>
  </w:p>
  <w:p w:rsidR="001D090E" w:rsidRDefault="001D090E" w:rsidP="001D090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090E"/>
    <w:rsid w:val="00011EDD"/>
    <w:rsid w:val="00013973"/>
    <w:rsid w:val="000333DF"/>
    <w:rsid w:val="00036860"/>
    <w:rsid w:val="00042B0B"/>
    <w:rsid w:val="000629F9"/>
    <w:rsid w:val="000701B0"/>
    <w:rsid w:val="000701E5"/>
    <w:rsid w:val="00070F62"/>
    <w:rsid w:val="000820F8"/>
    <w:rsid w:val="0008691D"/>
    <w:rsid w:val="00095290"/>
    <w:rsid w:val="000A16EC"/>
    <w:rsid w:val="000B1CCB"/>
    <w:rsid w:val="000C074D"/>
    <w:rsid w:val="000C50EA"/>
    <w:rsid w:val="000C6C0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A21C1"/>
    <w:rsid w:val="001B1D4B"/>
    <w:rsid w:val="001B2BA9"/>
    <w:rsid w:val="001D090E"/>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4B69"/>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56999"/>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73CCF"/>
    <w:rsid w:val="00881BED"/>
    <w:rsid w:val="00881EF3"/>
    <w:rsid w:val="00883E7C"/>
    <w:rsid w:val="00886261"/>
    <w:rsid w:val="00894971"/>
    <w:rsid w:val="008C0341"/>
    <w:rsid w:val="008D5731"/>
    <w:rsid w:val="008D5C4E"/>
    <w:rsid w:val="008E1349"/>
    <w:rsid w:val="00937A78"/>
    <w:rsid w:val="009428A0"/>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C6BFB"/>
    <w:rsid w:val="00AD340B"/>
    <w:rsid w:val="00AE3966"/>
    <w:rsid w:val="00AF11C6"/>
    <w:rsid w:val="00B002D1"/>
    <w:rsid w:val="00B057F1"/>
    <w:rsid w:val="00B143A9"/>
    <w:rsid w:val="00B4064B"/>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7447"/>
    <w:rsid w:val="00CC61D1"/>
    <w:rsid w:val="00CC6622"/>
    <w:rsid w:val="00D20F5D"/>
    <w:rsid w:val="00D376ED"/>
    <w:rsid w:val="00D40E4F"/>
    <w:rsid w:val="00D638D0"/>
    <w:rsid w:val="00D67A0A"/>
    <w:rsid w:val="00D734B9"/>
    <w:rsid w:val="00D75F97"/>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34754"/>
    <w:rsid w:val="00E51E95"/>
    <w:rsid w:val="00E52220"/>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4A92"/>
    <w:rsid w:val="00FA6D2B"/>
    <w:rsid w:val="00FB15DB"/>
    <w:rsid w:val="00FC7DA9"/>
    <w:rsid w:val="00FD2404"/>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2BD78AC6-B298-495C-A09B-A53ACAC3A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D75F9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649</Words>
  <Characters>3849</Characters>
  <Application>Microsoft Office Word</Application>
  <DocSecurity>0</DocSecurity>
  <Lines>104</Lines>
  <Paragraphs>49</Paragraphs>
  <ScaleCrop>false</ScaleCrop>
  <HeadingPairs>
    <vt:vector size="2" baseType="variant">
      <vt:variant>
        <vt:lpstr>Title</vt:lpstr>
      </vt:variant>
      <vt:variant>
        <vt:i4>1</vt:i4>
      </vt:variant>
    </vt:vector>
  </HeadingPairs>
  <TitlesOfParts>
    <vt:vector size="1" baseType="lpstr">
      <vt:lpstr>A2991  FISCAL ESTIMATE</vt:lpstr>
    </vt:vector>
  </TitlesOfParts>
  <Manager>Joseph Pezzulo; R225</Manager>
  <Company>Office of Legislative Services</Company>
  <LinksUpToDate>false</LinksUpToDate>
  <CharactersWithSpaces>4483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A2991  FISCAL ESTIMATE</dc:title>
  <dc:creator>Assemblyman BURZICHELLI, Assemblyman MAZZEO</dc:creator>
  <cp:keywords>A2991|2|RF |294|265|265|!|0|</cp:keywords>
  <dc:description>sponsor 6/14</dc:description>
  <cp:lastModifiedBy>Siracusa, Nicole</cp:lastModifiedBy>
  <cp:revision>2</cp:revision>
  <dcterms:created xsi:type="dcterms:W3CDTF">2021-06-17T18:08:00Z</dcterms:created>
  <dcterms:modified xsi:type="dcterms:W3CDTF">2021-06-17T18:08:00Z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