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B6C" w:rsidRDefault="003A7B6C" w:rsidP="003A7B6C">
      <w:pPr>
        <w:pStyle w:val="bpuBill"/>
      </w:pPr>
      <w:bookmarkStart w:id="0" w:name="bpuFrontPg"/>
      <w:bookmarkEnd w:id="0"/>
      <w:r>
        <w:t xml:space="preserve">ASSEMBLY, No. 3116 </w:t>
      </w:r>
    </w:p>
    <w:p w:rsidR="003A7B6C" w:rsidRPr="009D38FF" w:rsidRDefault="003A7B6C" w:rsidP="003A7B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1529" r:id="rId7"/>
        </w:object>
      </w:r>
    </w:p>
    <w:p w:rsidR="003A7B6C" w:rsidRDefault="003A7B6C" w:rsidP="003A7B6C">
      <w:pPr>
        <w:pStyle w:val="bpuState"/>
      </w:pPr>
      <w:r>
        <w:t>STATE OF NEW JERSEY</w:t>
      </w:r>
    </w:p>
    <w:p w:rsidR="003A7B6C" w:rsidRDefault="003A7B6C" w:rsidP="003A7B6C">
      <w:pPr>
        <w:pStyle w:val="bpuLegislature"/>
      </w:pPr>
      <w:r>
        <w:t>219th LEGISLATURE</w:t>
      </w:r>
    </w:p>
    <w:p w:rsidR="003A7B6C" w:rsidRDefault="003A7B6C" w:rsidP="003A7B6C">
      <w:pPr>
        <w:pStyle w:val="bpuWpGraphic"/>
      </w:pPr>
      <w:r>
        <w:object w:dxaOrig="8985" w:dyaOrig="255">
          <v:shape id="_x0000_i1026" type="#_x0000_t75" style="width:6in;height:12pt" o:ole="">
            <v:imagedata r:id="rId6" o:title=""/>
          </v:shape>
          <o:OLEObject Type="Embed" ProgID="WPWin6.1" ShapeID="_x0000_i1026" DrawAspect="Content" ObjectID="_1645531530" r:id="rId8"/>
        </w:object>
      </w:r>
      <w:r>
        <w:t xml:space="preserve">  </w:t>
      </w:r>
    </w:p>
    <w:p w:rsidR="003A7B6C" w:rsidRDefault="003A7B6C" w:rsidP="003A7B6C">
      <w:pPr>
        <w:pStyle w:val="bpuIntro"/>
      </w:pPr>
      <w:r>
        <w:t>INTRODUCED FEBRUARY 24, 2020</w:t>
      </w:r>
    </w:p>
    <w:p w:rsidR="003A7B6C" w:rsidRDefault="003A7B6C" w:rsidP="003A7B6C">
      <w:pPr>
        <w:pStyle w:val="bpuIntro"/>
      </w:pPr>
    </w:p>
    <w:p w:rsidR="003A7B6C" w:rsidRDefault="003A7B6C" w:rsidP="003A7B6C">
      <w:pPr>
        <w:pStyle w:val="bpuIntro"/>
        <w:sectPr w:rsidR="003A7B6C" w:rsidSect="00290E2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7B6C" w:rsidRDefault="003A7B6C" w:rsidP="003A7B6C">
      <w:pPr>
        <w:pStyle w:val="bpuIntro"/>
      </w:pPr>
    </w:p>
    <w:p w:rsidR="003A7B6C" w:rsidRDefault="003A7B6C" w:rsidP="003A7B6C">
      <w:pPr>
        <w:pStyle w:val="bpuSponsor"/>
      </w:pPr>
      <w:r>
        <w:t>Sponsored by:</w:t>
      </w:r>
    </w:p>
    <w:p w:rsidR="003A7B6C" w:rsidRDefault="003A7B6C" w:rsidP="003A7B6C">
      <w:pPr>
        <w:pStyle w:val="bpuSponsor"/>
      </w:pPr>
      <w:r>
        <w:t>Assemblyman  WAYNE P. DEANGELO</w:t>
      </w:r>
    </w:p>
    <w:p w:rsidR="003A7B6C" w:rsidRDefault="003A7B6C" w:rsidP="003A7B6C">
      <w:pPr>
        <w:pStyle w:val="bpuSponsor"/>
      </w:pPr>
      <w:r>
        <w:t>District 14 (Mercer and Middlesex)</w:t>
      </w:r>
    </w:p>
    <w:p w:rsidR="003A7B6C" w:rsidRDefault="00290E23" w:rsidP="00290E23">
      <w:pPr>
        <w:pStyle w:val="bpuSponsor"/>
      </w:pPr>
      <w:r>
        <w:t>Assemblyman  ANTHONY S. VERRELLI</w:t>
      </w:r>
    </w:p>
    <w:p w:rsidR="00290E23" w:rsidRDefault="00290E23" w:rsidP="00290E23">
      <w:pPr>
        <w:pStyle w:val="bpuSponsor"/>
      </w:pPr>
      <w:r>
        <w:t>District 15 (Hunterdon and Mercer)</w:t>
      </w:r>
    </w:p>
    <w:p w:rsidR="00290E23" w:rsidRDefault="00042210" w:rsidP="00042210">
      <w:pPr>
        <w:pStyle w:val="bpuSponsor"/>
      </w:pPr>
      <w:r>
        <w:t>Assemblywoman  VALERIE VAINIERI HUTTLE</w:t>
      </w:r>
    </w:p>
    <w:p w:rsidR="00042210" w:rsidRDefault="00042210" w:rsidP="00042210">
      <w:pPr>
        <w:pStyle w:val="bpuSponsor"/>
      </w:pPr>
      <w:r>
        <w:t>District 37 (Bergen)</w:t>
      </w:r>
    </w:p>
    <w:p w:rsidR="00042210" w:rsidRPr="00042210" w:rsidRDefault="00042210" w:rsidP="00042210">
      <w:pPr>
        <w:pStyle w:val="bpuSponsor"/>
      </w:pPr>
      <w:bookmarkStart w:id="1" w:name="_GoBack"/>
      <w:bookmarkEnd w:id="1"/>
    </w:p>
    <w:p w:rsidR="003A7B6C" w:rsidRDefault="003A7B6C" w:rsidP="003A7B6C">
      <w:pPr>
        <w:pStyle w:val="bpuSponsor"/>
      </w:pPr>
    </w:p>
    <w:p w:rsidR="003A7B6C" w:rsidRDefault="003A7B6C" w:rsidP="003A7B6C">
      <w:pPr>
        <w:pStyle w:val="bpuSponsor"/>
      </w:pPr>
    </w:p>
    <w:p w:rsidR="003A7B6C" w:rsidRDefault="003A7B6C" w:rsidP="003A7B6C">
      <w:pPr>
        <w:pStyle w:val="bpuSponsor"/>
      </w:pPr>
    </w:p>
    <w:p w:rsidR="003A7B6C" w:rsidRDefault="003A7B6C" w:rsidP="003A7B6C">
      <w:pPr>
        <w:pStyle w:val="bpuSponsor"/>
      </w:pPr>
      <w:r>
        <w:t>SYNOPSIS</w:t>
      </w:r>
    </w:p>
    <w:p w:rsidR="003A7B6C" w:rsidRDefault="003A7B6C" w:rsidP="003A7B6C">
      <w:pPr>
        <w:pStyle w:val="bpuNormText"/>
      </w:pPr>
      <w:r>
        <w:tab/>
        <w:t xml:space="preserve">Limits rescheduling, cancellation, and no-show fees providers of health care services may charge in certain instances. </w:t>
      </w:r>
    </w:p>
    <w:p w:rsidR="003A7B6C" w:rsidRDefault="003A7B6C" w:rsidP="003A7B6C">
      <w:pPr>
        <w:pStyle w:val="bpuNormText"/>
      </w:pPr>
      <w:r>
        <w:t xml:space="preserve"> </w:t>
      </w:r>
    </w:p>
    <w:p w:rsidR="003A7B6C" w:rsidRDefault="003A7B6C" w:rsidP="003A7B6C">
      <w:pPr>
        <w:pStyle w:val="bpuSponsor"/>
      </w:pPr>
      <w:r>
        <w:t xml:space="preserve">CURRENT VERSION OF TEXT </w:t>
      </w:r>
    </w:p>
    <w:p w:rsidR="003A7B6C" w:rsidRDefault="003A7B6C" w:rsidP="003A7B6C">
      <w:pPr>
        <w:pStyle w:val="bpuNormText"/>
      </w:pPr>
      <w:r>
        <w:tab/>
        <w:t>As introduced.</w:t>
      </w:r>
    </w:p>
    <w:p w:rsidR="003A7B6C" w:rsidRDefault="003A7B6C" w:rsidP="00BF6E02">
      <w:pPr>
        <w:pStyle w:val="bpuNormText"/>
        <w:sectPr w:rsidR="003A7B6C" w:rsidSect="003A7B6C">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239A" w:rsidRPr="009942C9" w:rsidRDefault="0071239A" w:rsidP="0071239A">
      <w:pPr>
        <w:pStyle w:val="HangingAnAct"/>
        <w:rPr>
          <w:rStyle w:val="HangingAnActChar"/>
        </w:rPr>
      </w:pPr>
      <w:r w:rsidRPr="0071239A">
        <w:rPr>
          <w:rStyle w:val="BillHead"/>
        </w:rPr>
        <w:lastRenderedPageBreak/>
        <w:t>An Act</w:t>
      </w:r>
      <w:r w:rsidRPr="006B7FA7">
        <w:rPr>
          <w:rStyle w:val="HangingAnActChar"/>
        </w:rPr>
        <w:t xml:space="preserve"> </w:t>
      </w:r>
      <w:r w:rsidRPr="009942C9">
        <w:rPr>
          <w:rStyle w:val="HangingAnActChar"/>
        </w:rPr>
        <w:t xml:space="preserve">concerning fees charged by </w:t>
      </w:r>
      <w:r>
        <w:rPr>
          <w:rStyle w:val="HangingAnActChar"/>
        </w:rPr>
        <w:t>providers of health care services</w:t>
      </w:r>
      <w:r w:rsidRPr="009942C9">
        <w:rPr>
          <w:rStyle w:val="HangingAnActChar"/>
        </w:rPr>
        <w:t xml:space="preserve"> and supplementing chapter 8 of Title 56 of the Revised Statutes.</w:t>
      </w:r>
    </w:p>
    <w:p w:rsidR="0071239A" w:rsidRPr="00D71D68" w:rsidRDefault="0071239A" w:rsidP="0071239A"/>
    <w:p w:rsidR="0071239A" w:rsidRPr="00AA7880" w:rsidRDefault="0071239A" w:rsidP="0071239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1239A" w:rsidRDefault="0071239A" w:rsidP="0071239A"/>
    <w:p w:rsidR="0071239A" w:rsidRDefault="0071239A" w:rsidP="0071239A">
      <w:pPr>
        <w:tabs>
          <w:tab w:val="left" w:pos="1080"/>
        </w:tabs>
      </w:pPr>
      <w:r>
        <w:tab/>
        <w:t>1.</w:t>
      </w:r>
      <w:r>
        <w:tab/>
        <w:t>a.</w:t>
      </w:r>
      <w:r>
        <w:tab/>
        <w:t xml:space="preserve">As used in this section, “provider of health care services” shall have the meaning as defined in subsection </w:t>
      </w:r>
      <w:proofErr w:type="spellStart"/>
      <w:r>
        <w:t>i</w:t>
      </w:r>
      <w:proofErr w:type="spellEnd"/>
      <w:r>
        <w:t>. of section 1 of P.L.1985, c.236 (C.</w:t>
      </w:r>
      <w:r w:rsidRPr="00B677F3">
        <w:t>17:48E-1</w:t>
      </w:r>
      <w:r>
        <w:t xml:space="preserve">).  </w:t>
      </w:r>
    </w:p>
    <w:p w:rsidR="0071239A" w:rsidRDefault="0071239A" w:rsidP="0071239A">
      <w:pPr>
        <w:tabs>
          <w:tab w:val="left" w:pos="1080"/>
        </w:tabs>
      </w:pPr>
      <w:r>
        <w:tab/>
        <w:t>b.</w:t>
      </w:r>
      <w:r>
        <w:tab/>
        <w:t>No provider of health care services shall charge a new or returning patient any fee for cancelling or rescheduling more than 24 hours in advance of an appointment.  A provider of health care services may charge a new or returning patient a fee of not more than $25 for cancelling or rescheduling less than 24 hours in advance of an appointment, or failing to appear at a scheduled appointment, if the patient:</w:t>
      </w:r>
    </w:p>
    <w:p w:rsidR="0071239A" w:rsidRDefault="0071239A" w:rsidP="0071239A">
      <w:r>
        <w:tab/>
        <w:t>(1)</w:t>
      </w:r>
      <w:r>
        <w:tab/>
        <w:t xml:space="preserve">was given notification, orally or in writing, at the time when the appointment was made that a fee would apply; and </w:t>
      </w:r>
    </w:p>
    <w:p w:rsidR="0071239A" w:rsidRDefault="0071239A" w:rsidP="0071239A">
      <w:r>
        <w:tab/>
        <w:t>(2)</w:t>
      </w:r>
      <w:r>
        <w:tab/>
        <w:t>had previously canceled or rescheduled less than 24 hours in advance of an appointment made for the same or a similar reason, or failed to appear at a scheduled appointment, on two, separate, previous occasions in the past six months.</w:t>
      </w:r>
    </w:p>
    <w:p w:rsidR="0071239A" w:rsidRDefault="0071239A" w:rsidP="0071239A"/>
    <w:p w:rsidR="0071239A" w:rsidRPr="00200293" w:rsidRDefault="0071239A" w:rsidP="0071239A">
      <w:r>
        <w:tab/>
        <w:t>2.</w:t>
      </w:r>
      <w:r>
        <w:tab/>
      </w:r>
      <w:r w:rsidRPr="00200293">
        <w:t>A person who violates the provisions of</w:t>
      </w:r>
      <w:r>
        <w:t xml:space="preserve"> section 1 of </w:t>
      </w:r>
      <w:r w:rsidRPr="00973E39">
        <w:t xml:space="preserve">P.L.    , c.    (C.  </w:t>
      </w:r>
      <w:r>
        <w:t xml:space="preserve">    </w:t>
      </w:r>
      <w:r w:rsidRPr="00973E39">
        <w:t xml:space="preserve">  ) (pending before the Legislature as this bill)</w:t>
      </w:r>
      <w:r>
        <w:t xml:space="preserve"> </w:t>
      </w:r>
      <w:r w:rsidRPr="00200293">
        <w:t>shall be liable to a civ</w:t>
      </w:r>
      <w:r>
        <w:t>il penalty of not more than $500</w:t>
      </w:r>
      <w:r w:rsidRPr="00200293">
        <w:t xml:space="preserve"> for the first violation, </w:t>
      </w:r>
      <w:r>
        <w:t xml:space="preserve">and </w:t>
      </w:r>
      <w:r w:rsidRPr="00200293">
        <w:t xml:space="preserve">not </w:t>
      </w:r>
      <w:r>
        <w:t>more than $1,0</w:t>
      </w:r>
      <w:r w:rsidRPr="00200293">
        <w:t xml:space="preserve">00 for the second </w:t>
      </w:r>
      <w:r>
        <w:t xml:space="preserve">and any subsequent </w:t>
      </w:r>
      <w:r w:rsidRPr="00200293">
        <w:t>violation</w:t>
      </w:r>
      <w:r>
        <w:t>.</w:t>
      </w:r>
      <w:r w:rsidRPr="00200293">
        <w:t xml:space="preserve">  The civil penalty shall be collected pursuant to the "Penalty Enforcement Law of 1999," P.L.1999, c.274 (C.2A:58-10 et seq.), in a summary proceeding before the municipal court having jurisdiction.</w:t>
      </w:r>
    </w:p>
    <w:p w:rsidR="0071239A" w:rsidRDefault="0071239A" w:rsidP="0071239A"/>
    <w:p w:rsidR="0071239A" w:rsidRPr="00AA7880" w:rsidRDefault="0071239A" w:rsidP="0071239A">
      <w:r>
        <w:tab/>
        <w:t>3.</w:t>
      </w:r>
      <w:r>
        <w:tab/>
        <w:t>This act shall take effect on the first day of the third month following enactment.</w:t>
      </w:r>
    </w:p>
    <w:p w:rsidR="0071239A" w:rsidRDefault="0071239A" w:rsidP="0071239A"/>
    <w:p w:rsidR="0071239A" w:rsidRPr="00CE7BD8" w:rsidRDefault="0071239A" w:rsidP="0071239A"/>
    <w:p w:rsidR="0071239A" w:rsidRPr="00AA7880" w:rsidRDefault="0071239A" w:rsidP="0071239A">
      <w:pPr>
        <w:jc w:val="center"/>
      </w:pPr>
      <w:r w:rsidRPr="00D71D68">
        <w:t>STATEMENT</w:t>
      </w:r>
    </w:p>
    <w:p w:rsidR="0071239A" w:rsidRDefault="0071239A" w:rsidP="0071239A"/>
    <w:p w:rsidR="0071239A" w:rsidRDefault="0071239A" w:rsidP="0071239A">
      <w:r>
        <w:tab/>
        <w:t>This bill would prohibit a health care provider from charging a patient a fee for rescheduling or cancelling an appointment more than 24 hours in advance.  In addition, the bill would prohibit the assessment of fees for cancelling or rescheduling less than 24 hours in advance of an appointment, or failing to appear at a scheduled appointment, unless the patient: (1) was given notification at the time when the appointment was made that a fee would apply, and (2) previously canceled or rescheduled an appointment for the same or a similar reason less than 24 hours in advance, or failed to appear at a scheduled appointment, on two previous occasions in the past six months.</w:t>
      </w:r>
    </w:p>
    <w:p w:rsidR="0071239A" w:rsidRDefault="0071239A" w:rsidP="0071239A">
      <w:r>
        <w:tab/>
        <w:t>Under the bill, the maximum fee that could be assessed for rescheduling, cancelling, or failing to appear at a scheduled appointment would be $25.</w:t>
      </w:r>
    </w:p>
    <w:p w:rsidR="0071239A" w:rsidRDefault="0071239A" w:rsidP="0071239A">
      <w:r>
        <w:tab/>
        <w:t xml:space="preserve">The penalty for a violation of the bill would be up to $500 for a first offense and up to $1,000 for a second or subsequent offense. </w:t>
      </w:r>
    </w:p>
    <w:sectPr w:rsidR="0071239A" w:rsidSect="003A7B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0AC" w:rsidRDefault="004020AC">
      <w:r>
        <w:separator/>
      </w:r>
    </w:p>
  </w:endnote>
  <w:endnote w:type="continuationSeparator" w:id="0">
    <w:p w:rsidR="004020AC" w:rsidRDefault="00402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E23" w:rsidRDefault="00290E23" w:rsidP="00290E2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0AC" w:rsidRDefault="004020AC">
      <w:r>
        <w:separator/>
      </w:r>
    </w:p>
  </w:footnote>
  <w:footnote w:type="continuationSeparator" w:id="0">
    <w:p w:rsidR="004020AC" w:rsidRDefault="00402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12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7B6C" w:rsidRDefault="003A7B6C" w:rsidP="003A7B6C">
    <w:pPr>
      <w:pStyle w:val="bpuHeadSpon"/>
    </w:pPr>
    <w:r w:rsidRPr="003A7B6C">
      <w:rPr>
        <w:rStyle w:val="bpuHeadSponChar"/>
      </w:rPr>
      <w:t>A3116</w:t>
    </w:r>
    <w:r>
      <w:t xml:space="preserve"> DEANGELO</w:t>
    </w:r>
    <w:r w:rsidR="00290E23">
      <w:t xml:space="preserve">, </w:t>
    </w:r>
    <w:r w:rsidR="00290E23">
      <w:t>VERRELLI</w:t>
    </w:r>
  </w:p>
  <w:p w:rsidR="003A7B6C" w:rsidRDefault="003A7B6C" w:rsidP="003A7B6C">
    <w:pPr>
      <w:pStyle w:val="bpuHeadSpon"/>
    </w:pPr>
    <w:r>
      <w:fldChar w:fldCharType="begin"/>
    </w:r>
    <w:r>
      <w:instrText xml:space="preserve"> PAGE  \* MERGEFORMAT </w:instrText>
    </w:r>
    <w:r>
      <w:fldChar w:fldCharType="separate"/>
    </w:r>
    <w:r w:rsidR="002E23C5">
      <w:rPr>
        <w:noProof/>
      </w:rPr>
      <w:t>3</w:t>
    </w:r>
    <w:r>
      <w:fldChar w:fldCharType="end"/>
    </w:r>
  </w:p>
  <w:p w:rsidR="003A7B6C" w:rsidRDefault="003A7B6C" w:rsidP="003A7B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7B6C" w:rsidRDefault="003A7B6C" w:rsidP="003A7B6C">
    <w:pPr>
      <w:pStyle w:val="bpuHeadSpon"/>
    </w:pPr>
    <w:r w:rsidRPr="003A7B6C">
      <w:rPr>
        <w:rStyle w:val="bpuHeadSponChar"/>
      </w:rPr>
      <w:t>A3116</w:t>
    </w:r>
    <w:r>
      <w:t xml:space="preserve"> DEANGELO</w:t>
    </w:r>
    <w:r w:rsidR="00290E23">
      <w:t xml:space="preserve">, </w:t>
    </w:r>
    <w:r w:rsidR="00290E23">
      <w:t>VERRELLI</w:t>
    </w:r>
  </w:p>
  <w:p w:rsidR="003A7B6C" w:rsidRDefault="003A7B6C" w:rsidP="003A7B6C">
    <w:pPr>
      <w:pStyle w:val="bpuHeadSpon"/>
    </w:pPr>
    <w:r>
      <w:fldChar w:fldCharType="begin"/>
    </w:r>
    <w:r>
      <w:instrText xml:space="preserve"> PAGE  \* MERGEFORMAT </w:instrText>
    </w:r>
    <w:r>
      <w:fldChar w:fldCharType="separate"/>
    </w:r>
    <w:r w:rsidR="002E23C5">
      <w:rPr>
        <w:noProof/>
      </w:rPr>
      <w:t>2</w:t>
    </w:r>
    <w:r>
      <w:fldChar w:fldCharType="end"/>
    </w:r>
  </w:p>
  <w:p w:rsidR="003A7B6C" w:rsidRDefault="003A7B6C" w:rsidP="003A7B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0AC"/>
    <w:rsid w:val="000051BD"/>
    <w:rsid w:val="000160A5"/>
    <w:rsid w:val="0002335B"/>
    <w:rsid w:val="0003549A"/>
    <w:rsid w:val="000367AE"/>
    <w:rsid w:val="00042210"/>
    <w:rsid w:val="00043B22"/>
    <w:rsid w:val="00054975"/>
    <w:rsid w:val="00057D20"/>
    <w:rsid w:val="0006197C"/>
    <w:rsid w:val="0006281F"/>
    <w:rsid w:val="0008141C"/>
    <w:rsid w:val="0008369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C1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E23"/>
    <w:rsid w:val="002A1029"/>
    <w:rsid w:val="002A3A1A"/>
    <w:rsid w:val="002A4692"/>
    <w:rsid w:val="002A51BA"/>
    <w:rsid w:val="002B2E26"/>
    <w:rsid w:val="002B3FE6"/>
    <w:rsid w:val="002C2D81"/>
    <w:rsid w:val="002C461E"/>
    <w:rsid w:val="002C6CEC"/>
    <w:rsid w:val="002E09CE"/>
    <w:rsid w:val="002E23C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B6C"/>
    <w:rsid w:val="003C43EF"/>
    <w:rsid w:val="003C5A6B"/>
    <w:rsid w:val="003C7FB2"/>
    <w:rsid w:val="003D24DE"/>
    <w:rsid w:val="003E26D4"/>
    <w:rsid w:val="003E47BA"/>
    <w:rsid w:val="003F3B37"/>
    <w:rsid w:val="0040195A"/>
    <w:rsid w:val="004020AC"/>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39A"/>
    <w:rsid w:val="00716BB9"/>
    <w:rsid w:val="007256D1"/>
    <w:rsid w:val="00726830"/>
    <w:rsid w:val="007279FD"/>
    <w:rsid w:val="007502CB"/>
    <w:rsid w:val="00752D79"/>
    <w:rsid w:val="00752E20"/>
    <w:rsid w:val="00756EDE"/>
    <w:rsid w:val="00781B4D"/>
    <w:rsid w:val="007824BF"/>
    <w:rsid w:val="00783B8D"/>
    <w:rsid w:val="00794B94"/>
    <w:rsid w:val="00794BD4"/>
    <w:rsid w:val="007A19EC"/>
    <w:rsid w:val="007A2F73"/>
    <w:rsid w:val="007A3061"/>
    <w:rsid w:val="007A5A0B"/>
    <w:rsid w:val="007C0E14"/>
    <w:rsid w:val="007C7DE4"/>
    <w:rsid w:val="007D40CB"/>
    <w:rsid w:val="007D5796"/>
    <w:rsid w:val="007D59C0"/>
    <w:rsid w:val="007D7D9C"/>
    <w:rsid w:val="007F485D"/>
    <w:rsid w:val="007F6050"/>
    <w:rsid w:val="00813627"/>
    <w:rsid w:val="00832816"/>
    <w:rsid w:val="0083340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2F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E0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9BA"/>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56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4A91CDC"/>
  <w15:docId w15:val="{BD87755E-747F-43B8-96FE-58DDB76D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334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3407"/>
    <w:rPr>
      <w:rFonts w:ascii="Segoe UI" w:hAnsi="Segoe UI" w:cs="Segoe UI"/>
      <w:spacing w:val="4"/>
      <w:sz w:val="18"/>
      <w:szCs w:val="18"/>
    </w:rPr>
  </w:style>
  <w:style w:type="character" w:styleId="LineNumber">
    <w:name w:val="line number"/>
    <w:basedOn w:val="DefaultParagraphFont"/>
    <w:semiHidden/>
    <w:unhideWhenUsed/>
    <w:rsid w:val="003A7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527</Words>
  <Characters>2597</Characters>
  <Application>Microsoft Office Word</Application>
  <DocSecurity>0</DocSecurity>
  <Lines>83</Lines>
  <Paragraphs>27</Paragraphs>
  <ScaleCrop>false</ScaleCrop>
  <HeadingPairs>
    <vt:vector size="2" baseType="variant">
      <vt:variant>
        <vt:lpstr>Title</vt:lpstr>
      </vt:variant>
      <vt:variant>
        <vt:i4>1</vt:i4>
      </vt:variant>
    </vt:vector>
  </HeadingPairs>
  <TitlesOfParts>
    <vt:vector size="1" baseType="lpstr">
      <vt:lpstr> A3939 Reintro Asm. DeAngelo</vt:lpstr>
    </vt:vector>
  </TitlesOfParts>
  <Manager>R211</Manager>
  <Company>NJ Office of Legislative Services</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A3116</dc:title>
  <dc:subject/>
  <dc:creator>Assemblyman  DEANGELO</dc:creator>
  <cp:keywords>A3116|3|LP |253|0|253|N|0|</cp:keywords>
  <dc:description>INTRODUCED FEBRUARY 24, 2020</dc:description>
  <cp:lastModifiedBy>Todaro, Vivian</cp:lastModifiedBy>
  <cp:revision>2</cp:revision>
  <cp:lastPrinted>2020-03-12T19:18:00Z</cp:lastPrinted>
  <dcterms:created xsi:type="dcterms:W3CDTF">2020-03-12T19:18:00Z</dcterms:created>
  <dcterms:modified xsi:type="dcterms:W3CDTF">2020-03-12T19:18:00Z</dcterms:modified>
  <cp:category>s.1-2: 56:8-212 et seq.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