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0B4" w:rsidRDefault="007810B4" w:rsidP="007810B4">
      <w:pPr>
        <w:pStyle w:val="bpuBill"/>
      </w:pPr>
      <w:bookmarkStart w:id="0" w:name="bpuFrontPg"/>
      <w:bookmarkStart w:id="1" w:name="_GoBack"/>
      <w:bookmarkEnd w:id="0"/>
      <w:bookmarkEnd w:id="1"/>
      <w:r>
        <w:t xml:space="preserve">ASSEMBLY, No. 3222 </w:t>
      </w:r>
    </w:p>
    <w:p w:rsidR="007810B4" w:rsidRPr="009D38FF" w:rsidRDefault="007810B4" w:rsidP="007810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7096" r:id="rId7"/>
        </w:object>
      </w:r>
    </w:p>
    <w:p w:rsidR="007810B4" w:rsidRDefault="007810B4" w:rsidP="007810B4">
      <w:pPr>
        <w:pStyle w:val="bpuState"/>
      </w:pPr>
      <w:r>
        <w:t>STATE OF NEW JERSEY</w:t>
      </w:r>
    </w:p>
    <w:p w:rsidR="007810B4" w:rsidRDefault="007810B4" w:rsidP="007810B4">
      <w:pPr>
        <w:pStyle w:val="bpuLegislature"/>
      </w:pPr>
      <w:r>
        <w:t>219th LEGISLATURE</w:t>
      </w:r>
    </w:p>
    <w:p w:rsidR="007810B4" w:rsidRDefault="007810B4" w:rsidP="007810B4">
      <w:pPr>
        <w:pStyle w:val="bpuWpGraphic"/>
      </w:pPr>
      <w:r>
        <w:object w:dxaOrig="8985" w:dyaOrig="255">
          <v:shape id="_x0000_i1026" type="#_x0000_t75" style="width:6in;height:12pt" o:ole="">
            <v:imagedata r:id="rId6" o:title=""/>
          </v:shape>
          <o:OLEObject Type="Embed" ProgID="WPWin6.1" ShapeID="_x0000_i1026" DrawAspect="Content" ObjectID="_1660137097" r:id="rId8"/>
        </w:object>
      </w:r>
      <w:r>
        <w:t xml:space="preserve">  </w:t>
      </w:r>
    </w:p>
    <w:p w:rsidR="007810B4" w:rsidRDefault="007810B4" w:rsidP="007810B4">
      <w:pPr>
        <w:pStyle w:val="bpuIntro"/>
      </w:pPr>
      <w:r>
        <w:t>INTRODUCED FEBRUARY 25, 2020</w:t>
      </w:r>
    </w:p>
    <w:p w:rsidR="007810B4" w:rsidRDefault="007810B4" w:rsidP="007810B4">
      <w:pPr>
        <w:pStyle w:val="bpuIntro"/>
      </w:pPr>
    </w:p>
    <w:p w:rsidR="007810B4" w:rsidRDefault="007810B4" w:rsidP="007810B4">
      <w:pPr>
        <w:pStyle w:val="bpuIntro"/>
        <w:sectPr w:rsidR="007810B4" w:rsidSect="002516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10B4" w:rsidRDefault="007810B4" w:rsidP="007810B4">
      <w:pPr>
        <w:pStyle w:val="bpuIntro"/>
      </w:pPr>
    </w:p>
    <w:p w:rsidR="007810B4" w:rsidRDefault="007810B4" w:rsidP="007810B4">
      <w:pPr>
        <w:pStyle w:val="bpuSponsor"/>
      </w:pPr>
      <w:r>
        <w:t>Sponsored by:</w:t>
      </w:r>
    </w:p>
    <w:p w:rsidR="007810B4" w:rsidRDefault="007810B4" w:rsidP="007810B4">
      <w:pPr>
        <w:pStyle w:val="bpuSponsor"/>
      </w:pPr>
      <w:r>
        <w:t>Assemblyman  RONALD S. DANCER</w:t>
      </w:r>
    </w:p>
    <w:p w:rsidR="007810B4" w:rsidRDefault="007810B4" w:rsidP="007810B4">
      <w:pPr>
        <w:pStyle w:val="bpuSponsor"/>
      </w:pPr>
      <w:r>
        <w:t>District 12 (Burlington, Middlesex, Monmouth and Ocean)</w:t>
      </w:r>
    </w:p>
    <w:p w:rsidR="007810B4" w:rsidRDefault="007810B4" w:rsidP="007810B4">
      <w:pPr>
        <w:pStyle w:val="bpuSponsor"/>
      </w:pPr>
    </w:p>
    <w:p w:rsidR="007810B4" w:rsidRDefault="00251640" w:rsidP="00251640">
      <w:pPr>
        <w:pStyle w:val="bpuSponsor"/>
      </w:pPr>
      <w:r>
        <w:t>Co-Sponsored by:</w:t>
      </w:r>
    </w:p>
    <w:p w:rsidR="00251640" w:rsidRPr="00251640" w:rsidRDefault="00251640" w:rsidP="00251640">
      <w:pPr>
        <w:pStyle w:val="bpuSponsor"/>
      </w:pPr>
      <w:r w:rsidRPr="00251640">
        <w:t>Assemblyman McClellan</w:t>
      </w:r>
    </w:p>
    <w:p w:rsidR="007810B4" w:rsidRDefault="007810B4" w:rsidP="007810B4">
      <w:pPr>
        <w:pStyle w:val="bpuSponsor"/>
      </w:pPr>
    </w:p>
    <w:p w:rsidR="00251640" w:rsidRDefault="00251640" w:rsidP="00251640"/>
    <w:p w:rsidR="00251640" w:rsidRPr="00251640" w:rsidRDefault="00251640" w:rsidP="00251640"/>
    <w:p w:rsidR="007810B4" w:rsidRDefault="007810B4" w:rsidP="007810B4">
      <w:pPr>
        <w:pStyle w:val="bpuSponsor"/>
      </w:pPr>
    </w:p>
    <w:p w:rsidR="007810B4" w:rsidRDefault="007810B4" w:rsidP="007810B4">
      <w:pPr>
        <w:pStyle w:val="bpuSponsor"/>
      </w:pPr>
      <w:r>
        <w:t>SYNOPSIS</w:t>
      </w:r>
    </w:p>
    <w:p w:rsidR="007810B4" w:rsidRDefault="007810B4" w:rsidP="007810B4">
      <w:pPr>
        <w:pStyle w:val="bpuNormText"/>
      </w:pPr>
      <w:r>
        <w:tab/>
        <w:t xml:space="preserve">Requires consideration of ecotourism when evaluating and ranking applications by local government units or qualifying tax exempt nonprofit organizations for acquisition or development of lands for recreation and conservation purposes. </w:t>
      </w:r>
    </w:p>
    <w:p w:rsidR="007810B4" w:rsidRDefault="007810B4" w:rsidP="007810B4">
      <w:pPr>
        <w:pStyle w:val="bpuNormText"/>
      </w:pPr>
    </w:p>
    <w:p w:rsidR="007810B4" w:rsidRDefault="007810B4" w:rsidP="007810B4">
      <w:pPr>
        <w:pStyle w:val="bpuSponsor"/>
      </w:pPr>
      <w:r>
        <w:t xml:space="preserve">CURRENT VERSION OF TEXT </w:t>
      </w:r>
    </w:p>
    <w:p w:rsidR="007810B4" w:rsidRDefault="007810B4" w:rsidP="007810B4">
      <w:pPr>
        <w:pStyle w:val="bpuNormText"/>
      </w:pPr>
      <w:r>
        <w:tab/>
        <w:t>As introduced.</w:t>
      </w:r>
    </w:p>
    <w:p w:rsidR="007810B4" w:rsidRDefault="007810B4" w:rsidP="007810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10B4" w:rsidRDefault="007810B4" w:rsidP="008916EC">
      <w:pPr>
        <w:pStyle w:val="FronterPage"/>
        <w:tabs>
          <w:tab w:val="clear" w:pos="720"/>
          <w:tab w:val="clear" w:pos="1440"/>
          <w:tab w:val="clear" w:pos="2160"/>
          <w:tab w:val="clear" w:pos="2880"/>
          <w:tab w:val="clear" w:pos="3600"/>
          <w:tab w:val="clear" w:pos="4320"/>
          <w:tab w:val="clear" w:pos="5040"/>
        </w:tabs>
        <w:sectPr w:rsidR="007810B4" w:rsidSect="007810B4">
          <w:type w:val="continuous"/>
          <w:pgSz w:w="12240" w:h="20160" w:code="5"/>
          <w:pgMar w:top="1440" w:right="2275" w:bottom="1440" w:left="2275" w:header="72" w:footer="720" w:gutter="0"/>
          <w:pgNumType w:start="1"/>
          <w:cols w:space="720"/>
          <w:docGrid w:linePitch="360"/>
        </w:sectPr>
      </w:pPr>
    </w:p>
    <w:p w:rsidR="001C1E7A" w:rsidRPr="00677316" w:rsidRDefault="001C1E7A" w:rsidP="001C1E7A">
      <w:pPr>
        <w:pStyle w:val="HangingAnAct"/>
        <w:rPr>
          <w:rStyle w:val="HangingAnActChar"/>
        </w:rPr>
      </w:pPr>
      <w:r w:rsidRPr="001C1E7A">
        <w:rPr>
          <w:rStyle w:val="BillHead"/>
        </w:rPr>
        <w:lastRenderedPageBreak/>
        <w:t>An Act</w:t>
      </w:r>
      <w:r w:rsidRPr="006B7FA7">
        <w:rPr>
          <w:rStyle w:val="HangingAnActChar"/>
        </w:rPr>
        <w:t xml:space="preserve"> </w:t>
      </w:r>
      <w:r>
        <w:t xml:space="preserve">concerning ecotourism and certain lands acquired or developed for recreation and conservation purposes, and </w:t>
      </w:r>
      <w:r w:rsidRPr="001D5232">
        <w:t>amending P.L.1999, c.152</w:t>
      </w:r>
      <w:r>
        <w:t>.</w:t>
      </w:r>
    </w:p>
    <w:p w:rsidR="001C1E7A" w:rsidRPr="00D71D68" w:rsidRDefault="001C1E7A" w:rsidP="001C1E7A"/>
    <w:p w:rsidR="001C1E7A" w:rsidRPr="00AA7880" w:rsidRDefault="001C1E7A" w:rsidP="001C1E7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C1E7A" w:rsidRDefault="001C1E7A" w:rsidP="001C1E7A"/>
    <w:p w:rsidR="001C1E7A" w:rsidRDefault="001C1E7A" w:rsidP="001C1E7A">
      <w:r>
        <w:tab/>
        <w:t>1.</w:t>
      </w:r>
      <w:r>
        <w:tab/>
        <w:t>S</w:t>
      </w:r>
      <w:r w:rsidRPr="001D5232">
        <w:t>ection 24 of P.L.1999, c.152 (C.13:8C-24)</w:t>
      </w:r>
      <w:r>
        <w:t xml:space="preserve"> is amended to read as follows:</w:t>
      </w:r>
    </w:p>
    <w:p w:rsidR="00A144FA" w:rsidRDefault="00280378" w:rsidP="00EA5205">
      <w:pPr>
        <w:tabs>
          <w:tab w:val="clear" w:pos="1440"/>
          <w:tab w:val="left" w:pos="1080"/>
        </w:tabs>
      </w:pPr>
      <w:r>
        <w:tab/>
      </w:r>
      <w:r w:rsidR="00A144FA">
        <w:t>24.</w:t>
      </w:r>
      <w:r w:rsidR="00EA5205">
        <w:tab/>
      </w:r>
      <w:r w:rsidR="00A144FA">
        <w:t>a.</w:t>
      </w:r>
      <w:r w:rsidR="00EA5205">
        <w:tab/>
      </w:r>
      <w:r w:rsidR="00A144FA">
        <w:t>(1) There is established in the Department of Environmental Protection the Office of Green Acres.  The commissioner may appoint an administrator or director who shall supervise the office, and the department may employ such other personnel and staff as may be required to carry out the duties and responsibilities of the department and the office pursuant to P.L.1999, c.152 (C.13:8C-1 et al.) and P.L.2016, c.12 (C.13:8C-43 et seq.), all without regard to the provisions of Title 11A, Civil Service, of the New Jersey Statutes.  Persons appointed or employed as provided pursuant to this subsection shall be compensated in a manner similar to other employees in the Executive Branch, and their compensation shall be determined by the Civil Service Commission.</w:t>
      </w:r>
    </w:p>
    <w:p w:rsidR="00A144FA" w:rsidRDefault="00A144FA" w:rsidP="00A144FA">
      <w:r>
        <w:tab/>
        <w:t>(2)</w:t>
      </w:r>
      <w:r>
        <w:tab/>
        <w:t>The Green Acres Program in the Department of Environmental Protection, together with all of its functions, powers and duties, are continued and transferred to and constituted as the Office of Green Acres in the Department of Environmental Protection.  Whenever, in any law, rule, regulation, order, contract, document, judicial or administrative proceeding or otherwise, reference is made to the Green Acres Program, the same shall mean and refer to the Office of Green Acres in the Department of Environmental Protection.  This transfer shall be subject to the provisions of the "State Agency Transfer Act," P.L.1971, c.375 (C.52:14D-1 et seq.).</w:t>
      </w:r>
    </w:p>
    <w:p w:rsidR="00A144FA" w:rsidRDefault="00A144FA" w:rsidP="00A144FA">
      <w:r>
        <w:tab/>
        <w:t xml:space="preserve"> b.</w:t>
      </w:r>
      <w:r>
        <w:tab/>
        <w:t>The duties and responsibilities of the office shall be as follows:</w:t>
      </w:r>
    </w:p>
    <w:p w:rsidR="00A144FA" w:rsidRDefault="00A144FA" w:rsidP="00A144FA">
      <w:r>
        <w:tab/>
        <w:t>(1)</w:t>
      </w:r>
      <w:r>
        <w:tab/>
        <w:t>Administer all provisions of P.L.1999, c.152 (C.13:8C-1 et al.) and P.L.2016, c.12 (C.13:8C-43 et seq.) pertaining to funding the acquisition and development of lands for recreation and conservation purposes as authorized pursuant to Article VIII, Section II, paragraph 6 and paragraph 7 of the State Constitution;</w:t>
      </w:r>
    </w:p>
    <w:p w:rsidR="00A144FA" w:rsidRDefault="00A144FA" w:rsidP="00A144FA">
      <w:r>
        <w:tab/>
        <w:t>(2)</w:t>
      </w:r>
      <w:r>
        <w:tab/>
        <w:t>Continue to administer all grant and loan programs for the acquisition and development of lands for recreation and conservation purposes, including the Green Trust, established or funded for those purposes pursuant to:  P.L.1961, c.45 (C.13:8A-1</w:t>
      </w:r>
      <w:r w:rsidR="00EA5205">
        <w:t> </w:t>
      </w:r>
      <w:r>
        <w:t>et</w:t>
      </w:r>
      <w:r w:rsidR="00EA5205">
        <w:t> </w:t>
      </w:r>
      <w:r>
        <w:t>seq.);</w:t>
      </w:r>
      <w:r w:rsidR="00EA5205">
        <w:t> </w:t>
      </w:r>
      <w:r>
        <w:t xml:space="preserve">P.L.1971, c.419 (C.13:8A-19 et seq.); P.L.1975, c.155 (C.13:8A-35 et seq.); or any Green Acres bond act; </w:t>
      </w:r>
    </w:p>
    <w:p w:rsidR="00A144FA" w:rsidRDefault="00A144FA" w:rsidP="00A144FA">
      <w:r>
        <w:lastRenderedPageBreak/>
        <w:tab/>
        <w:t>(3)</w:t>
      </w:r>
      <w:r>
        <w:tab/>
        <w:t>Adopt, with the approval of the commissioner and pursuant to the "Administrative Procedure Act," P.L.1968, c.410 (C.52:14B-1 et seq.), rules and regulations:</w:t>
      </w:r>
    </w:p>
    <w:p w:rsidR="00A144FA" w:rsidRDefault="00A144FA" w:rsidP="00A144FA">
      <w:r>
        <w:tab/>
        <w:t>(a)</w:t>
      </w:r>
      <w:r>
        <w:tab/>
        <w:t xml:space="preserve">establishing application procedures for grants and loans for the acquisition and development of lands for recreation and conservation purposes, criteria and policies for the evaluation and priority ranking of projects for eligibility to receive funding for recreation and conservation purposes using constitutionally dedicated moneys pursuant to P.L.1999, c.152 (C.13:8C-1 et al.) or constitutionally dedicated CBT moneys pursuant to P.L.2016, c.12 (C.13:8C-43 et  seq.), any conditions that may be placed on the award of a grant or loan for recreation and conservation purposes pursuant to P.L.1999, c.152 (C.13:8C-1 et al.) or P.L.2016, c.12 (C.13:8C-43 et al.), and any restrictions that may be placed on the use of lands acquired or developed with a grant or loan for recreation and conservation purposes pursuant to P.L.1999, c.152 (C.13:8C-1 et al.) or P.L.2016, c.12 (C.13:8C-43 et seq.).  The criteria and policies established pursuant to this subparagraph for the evaluation and priority ranking of projects for eligibility to receive funding for recreation and conservation purposes using constitutionally dedicated moneys pursuant to P.L.1999, c.152 (C.13:8C-1 et al.) or constitutionally dedicated CBT moneys pursuant to P.L.2016, c.12 (C.13:8C-43 et seq.) may be based upon, but need not be limited to, such factors as: protection of the environment, natural resources, water resources, watersheds, aquifers, wetlands, floodplains and flood-prone areas, stream corridors, beaches and coastal resources, forests and grasslands, scenic views, biodiversity, habitat for wildlife, rare, threatened, or endangered species, and plants; vernal habitat; degree of likelihood of development; promotion of greenways; provision for recreational access and use; protection of geologic, historic, archaeological, and cultural resources; relative cost; parcel size; and degree of public support; </w:t>
      </w:r>
    </w:p>
    <w:p w:rsidR="00A144FA" w:rsidRDefault="00A144FA" w:rsidP="00A144FA">
      <w:r>
        <w:tab/>
        <w:t>(b)</w:t>
      </w:r>
      <w:r>
        <w:tab/>
        <w:t>addressing any other matters deemed necessary to implement and carry out the goals and objectives of Article VIII, Section II, paragraph 6 and paragraph 7 of the State Constitution and P.L.1999, c.152 (C.13:8C-1 et al.) and P.L.2016, c.12 (C.13:8C-43 et seq.) with respect to the acquisition and development of lands for recreation and conservation purposes, including the acquisition of lands for recreation and conservation purposes that have been damaged by, or may be prone to incurring damage caused by, storms or storm-related flooding, or that may buffer or protect other lands from such damage; and</w:t>
      </w:r>
    </w:p>
    <w:p w:rsidR="00A144FA" w:rsidRDefault="00A144FA" w:rsidP="00A144FA">
      <w:r>
        <w:tab/>
        <w:t>(c)</w:t>
      </w:r>
      <w:r>
        <w:tab/>
        <w:t xml:space="preserve">establishing application requirements and a fee schedule for the review by the department of applications to convey, dispose of, or divert to a use other than recreation and conservation purposes lands acquired or developed by a local government unit or a qualifying tax exempt nonprofit organization for recreation and </w:t>
      </w:r>
      <w:r>
        <w:lastRenderedPageBreak/>
        <w:t xml:space="preserve">conservation purposes using funds from any Green Acres bond act, constitutionally dedicated moneys pursuant to P.L.1999, c.152 (C.13:8C-1 et al.), or constitutionally dedicated CBT moneys pursuant to P.L.2016, c.12 (C.13:8C-43 et seq.), or lands held by the local government unit for recreation and conservation purposes at the time of receipt of such funds.  The fees established pursuant to this subparagraph shall reflect the costs of the Office of Green Acres incurred in processing and reviewing applications to convey, dispose of, or divert lands acquired, developed, or held for recreation and conservation purposes to a use other than recreation and conservation purposes.  All fees collected pursuant to the fee schedule adopted pursuant to this subparagraph shall be used to offset the administrative costs of the Office of Green Acres associated with such reviews pursuant to the provisions of section 13 of P.L.1961, c.45 (C.13:8A-13), section 13 of P.L.1971, c.419 (C.13:8A-31), section 13 of P.L.1975, c.155 (C.13:8A-47), sections 31 through 35 of P.L.1999, c.152 (C.13:8C-31 through C.13:8C-35), and section 11 of P.L.2016, c.12 (C.13:8C-53), as appropriate, and any other applicable law; and </w:t>
      </w:r>
    </w:p>
    <w:p w:rsidR="00A144FA" w:rsidRDefault="00A144FA" w:rsidP="00A144FA">
      <w:r>
        <w:tab/>
        <w:t>(4)</w:t>
      </w:r>
      <w:r>
        <w:tab/>
        <w:t>Establishing criteria and policies for the evaluation and priority ranking of State projects to acquire and develop lands for recreation and conservation purposes using constitutionally dedicated moneys pursuant to P.L.1999, c.152 (C.13:8C-1 et al.) or constitutionally dedicated CBT moneys pursuant to P.L.2016, c.12 (C.13:8C-43 et seq.), which criteria and policies may be based upon, but need not be limited to, such factors as:  protection of the environment, natural resources, water resources, watersheds, aquifers, wetlands, floodplains and flood-prone areas, stream corridors, beaches and coastal resources, forests and grasslands, scenic views, biodiversity, habitat for wildlife, rare, threatened, or endangered species, and plants; vernal habitat; degree of likelihood of development; promotion of greenways; provision for recreational access and use; protection of geologic, historic, archaeological, and cultural resources; relative cost; parcel size; and degree of public support.</w:t>
      </w:r>
    </w:p>
    <w:p w:rsidR="001C1E7A" w:rsidRPr="001D5232" w:rsidRDefault="001C1E7A" w:rsidP="001C1E7A">
      <w:pPr>
        <w:rPr>
          <w:u w:val="single"/>
        </w:rPr>
      </w:pPr>
      <w:r w:rsidRPr="001D5232">
        <w:tab/>
      </w:r>
      <w:r>
        <w:rPr>
          <w:u w:val="single"/>
        </w:rPr>
        <w:t>c</w:t>
      </w:r>
      <w:r w:rsidRPr="001D5232">
        <w:rPr>
          <w:u w:val="single"/>
        </w:rPr>
        <w:t xml:space="preserve">.  In addition to the criteria and policies established pursuant to subsection b. of </w:t>
      </w:r>
      <w:r>
        <w:rPr>
          <w:u w:val="single"/>
        </w:rPr>
        <w:t>this section</w:t>
      </w:r>
      <w:r w:rsidRPr="001D5232">
        <w:rPr>
          <w:u w:val="single"/>
        </w:rPr>
        <w:t>, when evaluating and ranking projects by local government units and qualifying tax exempt nonprofit organizations for eligibility to receive constitutionally dedicated moneys pursuant to P.L.1999, c.152 (C.13:8C-1 et al.) or constitutionally dedicated CBT moneys pursuant to P.L</w:t>
      </w:r>
      <w:r w:rsidR="00CF795E">
        <w:rPr>
          <w:u w:val="single"/>
        </w:rPr>
        <w:t>.2016, c.12 (C.13:8C-43 et seq</w:t>
      </w:r>
      <w:r>
        <w:rPr>
          <w:u w:val="single"/>
        </w:rPr>
        <w:t>.)</w:t>
      </w:r>
      <w:r w:rsidRPr="001D5232">
        <w:rPr>
          <w:u w:val="single"/>
        </w:rPr>
        <w:t>, the office shall consider the extent that the project would create or promote ecotourism.</w:t>
      </w:r>
    </w:p>
    <w:p w:rsidR="001C1E7A" w:rsidRDefault="00A144FA" w:rsidP="001C1E7A">
      <w:r>
        <w:t>(</w:t>
      </w:r>
      <w:proofErr w:type="spellStart"/>
      <w:r>
        <w:t>cf</w:t>
      </w:r>
      <w:proofErr w:type="spellEnd"/>
      <w:r>
        <w:t>:  P.L.2019</w:t>
      </w:r>
      <w:r w:rsidR="001C1E7A">
        <w:t>, c.1</w:t>
      </w:r>
      <w:r>
        <w:t>36</w:t>
      </w:r>
      <w:r w:rsidR="001C1E7A">
        <w:t>, s.</w:t>
      </w:r>
      <w:r>
        <w:t>7</w:t>
      </w:r>
      <w:r w:rsidR="001C1E7A">
        <w:t>)</w:t>
      </w:r>
    </w:p>
    <w:p w:rsidR="001C1E7A" w:rsidRDefault="001C1E7A" w:rsidP="001C1E7A"/>
    <w:p w:rsidR="00EA5205" w:rsidRDefault="001C1E7A" w:rsidP="00EA5205">
      <w:r>
        <w:tab/>
        <w:t>2.</w:t>
      </w:r>
      <w:r>
        <w:tab/>
        <w:t>This act shall take effect immediately.</w:t>
      </w:r>
      <w:r w:rsidR="00EA5205">
        <w:br w:type="page"/>
      </w:r>
    </w:p>
    <w:p w:rsidR="001C1E7A" w:rsidRPr="00AA7880" w:rsidRDefault="001C1E7A" w:rsidP="001C1E7A">
      <w:pPr>
        <w:jc w:val="center"/>
      </w:pPr>
      <w:r w:rsidRPr="00D71D68">
        <w:lastRenderedPageBreak/>
        <w:t>STATEMENT</w:t>
      </w:r>
    </w:p>
    <w:p w:rsidR="001C1E7A" w:rsidRDefault="001C1E7A" w:rsidP="001C1E7A"/>
    <w:p w:rsidR="001C1E7A" w:rsidRDefault="001C1E7A" w:rsidP="001C1E7A">
      <w:r>
        <w:tab/>
        <w:t xml:space="preserve">This bill would expand the criteria and policies established for the evaluation and priority ranking by the Department of Environmental Protection’s Green Acres Program of applications </w:t>
      </w:r>
      <w:r w:rsidRPr="008B0080">
        <w:t xml:space="preserve">by local government units or qualifying </w:t>
      </w:r>
      <w:r>
        <w:t xml:space="preserve">tax exempt </w:t>
      </w:r>
      <w:r w:rsidRPr="008B0080">
        <w:t xml:space="preserve">nonprofit organizations </w:t>
      </w:r>
      <w:r>
        <w:t xml:space="preserve">for eligibility to receive funding from the Green Acres Program for recreation and conservation purposes.  Under this bill, the Green Acres Program would consider whether an application would create or promote ecotourism.  This consideration of the creation or promotion of ecotourism would be in addition to other criteria and policies set forth in law. </w:t>
      </w:r>
    </w:p>
    <w:sectPr w:rsidR="001C1E7A" w:rsidSect="00EA5205">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0EC" w:rsidRDefault="007720EC">
      <w:r>
        <w:separator/>
      </w:r>
    </w:p>
  </w:endnote>
  <w:endnote w:type="continuationSeparator" w:id="0">
    <w:p w:rsidR="007720EC" w:rsidRDefault="00772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640" w:rsidRDefault="00251640" w:rsidP="0025164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4FA" w:rsidRPr="00921C91" w:rsidRDefault="00A144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4FA" w:rsidRPr="00921C91" w:rsidRDefault="00A144FA">
    <w:pPr>
      <w:pStyle w:val="Footer"/>
      <w:rPr>
        <w:szCs w:val="18"/>
      </w:rPr>
    </w:pPr>
  </w:p>
  <w:p w:rsidR="00A144FA" w:rsidRPr="00921C91" w:rsidRDefault="00A144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44FA" w:rsidRDefault="00A14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0EC" w:rsidRDefault="007720EC">
      <w:r>
        <w:separator/>
      </w:r>
    </w:p>
  </w:footnote>
  <w:footnote w:type="continuationSeparator" w:id="0">
    <w:p w:rsidR="007720EC" w:rsidRDefault="00772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48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10B4" w:rsidRDefault="007810B4" w:rsidP="007810B4">
    <w:pPr>
      <w:pStyle w:val="bpuHeadSpon"/>
    </w:pPr>
    <w:r w:rsidRPr="007810B4">
      <w:rPr>
        <w:rStyle w:val="bpuHeadSponChar"/>
      </w:rPr>
      <w:t>A3222</w:t>
    </w:r>
    <w:r>
      <w:t xml:space="preserve"> DANCER</w:t>
    </w:r>
  </w:p>
  <w:p w:rsidR="007810B4" w:rsidRDefault="007810B4" w:rsidP="007810B4">
    <w:pPr>
      <w:pStyle w:val="bpuHeadSpon"/>
    </w:pPr>
    <w:r>
      <w:fldChar w:fldCharType="begin"/>
    </w:r>
    <w:r>
      <w:instrText xml:space="preserve"> PAGE  \* MERGEFORMAT </w:instrText>
    </w:r>
    <w:r>
      <w:fldChar w:fldCharType="separate"/>
    </w:r>
    <w:r w:rsidR="00B0483D">
      <w:rPr>
        <w:noProof/>
      </w:rPr>
      <w:t>5</w:t>
    </w:r>
    <w:r>
      <w:fldChar w:fldCharType="end"/>
    </w:r>
  </w:p>
  <w:p w:rsidR="007810B4" w:rsidRDefault="007810B4" w:rsidP="007810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10B4" w:rsidRDefault="007810B4" w:rsidP="007810B4">
    <w:pPr>
      <w:pStyle w:val="bpuHeadSpon"/>
    </w:pPr>
    <w:r w:rsidRPr="007810B4">
      <w:rPr>
        <w:rStyle w:val="bpuHeadSponChar"/>
      </w:rPr>
      <w:t>A3222</w:t>
    </w:r>
    <w:r>
      <w:t xml:space="preserve"> DANCER</w:t>
    </w:r>
  </w:p>
  <w:p w:rsidR="007810B4" w:rsidRDefault="007810B4" w:rsidP="007810B4">
    <w:pPr>
      <w:pStyle w:val="bpuHeadSpon"/>
    </w:pPr>
    <w:r>
      <w:fldChar w:fldCharType="begin"/>
    </w:r>
    <w:r>
      <w:instrText xml:space="preserve"> PAGE  \* MERGEFORMAT </w:instrText>
    </w:r>
    <w:r>
      <w:fldChar w:fldCharType="separate"/>
    </w:r>
    <w:r w:rsidR="00B0483D">
      <w:rPr>
        <w:noProof/>
      </w:rPr>
      <w:t>2</w:t>
    </w:r>
    <w:r>
      <w:fldChar w:fldCharType="end"/>
    </w:r>
  </w:p>
  <w:p w:rsidR="007810B4" w:rsidRDefault="007810B4" w:rsidP="007810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0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E7A"/>
    <w:rsid w:val="001C7C52"/>
    <w:rsid w:val="001D25F3"/>
    <w:rsid w:val="001E15F1"/>
    <w:rsid w:val="001E16FA"/>
    <w:rsid w:val="001E6213"/>
    <w:rsid w:val="001F14C7"/>
    <w:rsid w:val="001F7405"/>
    <w:rsid w:val="00205533"/>
    <w:rsid w:val="00212B8D"/>
    <w:rsid w:val="00213AA2"/>
    <w:rsid w:val="00222983"/>
    <w:rsid w:val="002370D0"/>
    <w:rsid w:val="00251640"/>
    <w:rsid w:val="00255958"/>
    <w:rsid w:val="00257FA2"/>
    <w:rsid w:val="0026574A"/>
    <w:rsid w:val="002660BB"/>
    <w:rsid w:val="002720E8"/>
    <w:rsid w:val="00275293"/>
    <w:rsid w:val="002776B0"/>
    <w:rsid w:val="0028037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AD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0EC"/>
    <w:rsid w:val="007810B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257"/>
    <w:rsid w:val="00A11228"/>
    <w:rsid w:val="00A144F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83D"/>
    <w:rsid w:val="00B05A3C"/>
    <w:rsid w:val="00B07100"/>
    <w:rsid w:val="00B1138C"/>
    <w:rsid w:val="00B2574A"/>
    <w:rsid w:val="00B35D8A"/>
    <w:rsid w:val="00B3663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95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20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55DFE22"/>
  <w15:docId w15:val="{56C08207-59D4-4BBB-93A2-187D2B4B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803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0378"/>
    <w:rPr>
      <w:rFonts w:ascii="Segoe UI" w:hAnsi="Segoe UI" w:cs="Segoe UI"/>
      <w:spacing w:val="4"/>
      <w:sz w:val="18"/>
      <w:szCs w:val="18"/>
    </w:rPr>
  </w:style>
  <w:style w:type="character" w:styleId="LineNumber">
    <w:name w:val="line number"/>
    <w:basedOn w:val="DefaultParagraphFont"/>
    <w:semiHidden/>
    <w:unhideWhenUsed/>
    <w:rsid w:val="00781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1370</Words>
  <Characters>7991</Characters>
  <Application>Microsoft Office Word</Application>
  <DocSecurity>0</DocSecurity>
  <Lines>181</Lines>
  <Paragraphs>31</Paragraphs>
  <ScaleCrop>false</ScaleCrop>
  <HeadingPairs>
    <vt:vector size="2" baseType="variant">
      <vt:variant>
        <vt:lpstr>Title</vt:lpstr>
      </vt:variant>
      <vt:variant>
        <vt:i4>1</vt:i4>
      </vt:variant>
    </vt:vector>
  </HeadingPairs>
  <TitlesOfParts>
    <vt:vector size="1" baseType="lpstr">
      <vt:lpstr>A3001 of 18/19 AsmDancer Reintro 20-3816</vt:lpstr>
    </vt:vector>
  </TitlesOfParts>
  <Manager>R224</Manager>
  <Company>NJ Office of Legislative Services</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A3222</dc:title>
  <dc:subject/>
  <dc:creator>Assemblyman  DANCER</dc:creator>
  <cp:keywords>A3222|5|EA |161|0|161|N|0|</cp:keywords>
  <dc:description>INTRODUCED FEBRUARY 25, 2020</dc:description>
  <cp:lastModifiedBy>Franks, Denise</cp:lastModifiedBy>
  <cp:revision>2</cp:revision>
  <cp:lastPrinted>2020-02-19T18:52:00Z</cp:lastPrinted>
  <dcterms:created xsi:type="dcterms:W3CDTF">2020-08-28T20:23:00Z</dcterms:created>
  <dcterms:modified xsi:type="dcterms:W3CDTF">2020-08-28T20:23:00Z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