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21BB" w:rsidRDefault="005621BB" w:rsidP="005621BB">
      <w:pPr>
        <w:pStyle w:val="bpuBill"/>
      </w:pPr>
      <w:bookmarkStart w:id="0" w:name="bpuFrontPg"/>
      <w:bookmarkStart w:id="1" w:name="_GoBack"/>
      <w:bookmarkEnd w:id="0"/>
      <w:bookmarkEnd w:id="1"/>
      <w:r>
        <w:t xml:space="preserve">ASSEMBLY, No. 3249 </w:t>
      </w:r>
    </w:p>
    <w:p w:rsidR="005621BB" w:rsidRPr="009D38FF" w:rsidRDefault="005621BB" w:rsidP="005621B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8914682" r:id="rId7"/>
        </w:object>
      </w:r>
    </w:p>
    <w:p w:rsidR="005621BB" w:rsidRDefault="005621BB" w:rsidP="005621BB">
      <w:pPr>
        <w:pStyle w:val="bpuState"/>
      </w:pPr>
      <w:r>
        <w:t>STATE OF NEW JERSEY</w:t>
      </w:r>
    </w:p>
    <w:p w:rsidR="005621BB" w:rsidRDefault="005621BB" w:rsidP="005621BB">
      <w:pPr>
        <w:pStyle w:val="bpuLegislature"/>
      </w:pPr>
      <w:r>
        <w:t>219th LEGISLATURE</w:t>
      </w:r>
    </w:p>
    <w:p w:rsidR="005621BB" w:rsidRDefault="005621BB" w:rsidP="005621BB">
      <w:pPr>
        <w:pStyle w:val="bpuWpGraphic"/>
      </w:pPr>
      <w:r>
        <w:object w:dxaOrig="8985" w:dyaOrig="255">
          <v:shape id="_x0000_i1026" type="#_x0000_t75" style="width:6in;height:12pt" o:ole="">
            <v:imagedata r:id="rId6" o:title=""/>
          </v:shape>
          <o:OLEObject Type="Embed" ProgID="WPWin6.1" ShapeID="_x0000_i1026" DrawAspect="Content" ObjectID="_1658914683" r:id="rId8"/>
        </w:object>
      </w:r>
      <w:r>
        <w:t xml:space="preserve">  </w:t>
      </w:r>
    </w:p>
    <w:p w:rsidR="005621BB" w:rsidRDefault="005621BB" w:rsidP="005621BB">
      <w:pPr>
        <w:pStyle w:val="bpuIntro"/>
      </w:pPr>
      <w:r>
        <w:t>INTRODUCED FEBRUARY 25, 2020</w:t>
      </w:r>
    </w:p>
    <w:p w:rsidR="005621BB" w:rsidRDefault="005621BB" w:rsidP="005621BB">
      <w:pPr>
        <w:pStyle w:val="bpuIntro"/>
      </w:pPr>
    </w:p>
    <w:p w:rsidR="005621BB" w:rsidRDefault="005621BB" w:rsidP="005621BB">
      <w:pPr>
        <w:pStyle w:val="bpuIntro"/>
        <w:sectPr w:rsidR="005621BB" w:rsidSect="009F193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621BB" w:rsidRDefault="005621BB" w:rsidP="005621BB">
      <w:pPr>
        <w:pStyle w:val="bpuIntro"/>
      </w:pPr>
    </w:p>
    <w:p w:rsidR="005621BB" w:rsidRDefault="005621BB" w:rsidP="005621BB">
      <w:pPr>
        <w:pStyle w:val="bpuSponsor"/>
      </w:pPr>
      <w:r>
        <w:t>Sponsored by:</w:t>
      </w:r>
    </w:p>
    <w:p w:rsidR="005621BB" w:rsidRDefault="005621BB" w:rsidP="005621BB">
      <w:pPr>
        <w:pStyle w:val="bpuSponsor"/>
      </w:pPr>
      <w:r>
        <w:t>Assemblywoman  CAROL A. MURPHY</w:t>
      </w:r>
    </w:p>
    <w:p w:rsidR="005621BB" w:rsidRDefault="005621BB" w:rsidP="005621BB">
      <w:pPr>
        <w:pStyle w:val="bpuSponsor"/>
      </w:pPr>
      <w:r>
        <w:t>District 7 (Burlington)</w:t>
      </w:r>
    </w:p>
    <w:p w:rsidR="005621BB" w:rsidRDefault="00372CD1" w:rsidP="00372CD1">
      <w:pPr>
        <w:pStyle w:val="bpuSponsor"/>
      </w:pPr>
      <w:r>
        <w:t>Assemblywoman  VALERIE VAINIERI HUTTLE</w:t>
      </w:r>
    </w:p>
    <w:p w:rsidR="00372CD1" w:rsidRDefault="00372CD1" w:rsidP="00372CD1">
      <w:pPr>
        <w:pStyle w:val="bpuSponsor"/>
      </w:pPr>
      <w:r>
        <w:t>District 37 (Bergen)</w:t>
      </w:r>
    </w:p>
    <w:p w:rsidR="00372CD1" w:rsidRDefault="009F1934" w:rsidP="009F1934">
      <w:pPr>
        <w:pStyle w:val="bpuSponsor"/>
      </w:pPr>
      <w:r>
        <w:t>Assemblywoman  LISA SWAIN</w:t>
      </w:r>
    </w:p>
    <w:p w:rsidR="009F1934" w:rsidRDefault="009F1934" w:rsidP="009F1934">
      <w:pPr>
        <w:pStyle w:val="bpuSponsor"/>
      </w:pPr>
      <w:r>
        <w:t>District 38 (Bergen and Passaic)</w:t>
      </w:r>
    </w:p>
    <w:p w:rsidR="009F1934" w:rsidRPr="009F1934" w:rsidRDefault="009F1934" w:rsidP="009F1934">
      <w:pPr>
        <w:pStyle w:val="bpuSponsor"/>
      </w:pPr>
    </w:p>
    <w:p w:rsidR="005621BB" w:rsidRDefault="005621BB" w:rsidP="005621BB">
      <w:pPr>
        <w:pStyle w:val="bpuSponsor"/>
      </w:pPr>
    </w:p>
    <w:p w:rsidR="005621BB" w:rsidRDefault="005621BB" w:rsidP="005621BB">
      <w:pPr>
        <w:pStyle w:val="bpuSponsor"/>
      </w:pPr>
    </w:p>
    <w:p w:rsidR="005621BB" w:rsidRDefault="005621BB" w:rsidP="005621BB">
      <w:pPr>
        <w:pStyle w:val="bpuSponsor"/>
      </w:pPr>
    </w:p>
    <w:p w:rsidR="005621BB" w:rsidRDefault="005621BB" w:rsidP="005621BB">
      <w:pPr>
        <w:pStyle w:val="bpuSponsor"/>
      </w:pPr>
      <w:r>
        <w:t>SYNOPSIS</w:t>
      </w:r>
    </w:p>
    <w:p w:rsidR="005621BB" w:rsidRDefault="005621BB" w:rsidP="005621BB">
      <w:pPr>
        <w:pStyle w:val="bpuNormText"/>
      </w:pPr>
      <w:r>
        <w:tab/>
        <w:t xml:space="preserve">Establishes circumstances when court may order physical or psychological examination of sexual assault victim in civil action for damages from sexual assault. </w:t>
      </w:r>
    </w:p>
    <w:p w:rsidR="005621BB" w:rsidRDefault="005621BB" w:rsidP="005621BB">
      <w:pPr>
        <w:pStyle w:val="bpuNormText"/>
      </w:pPr>
    </w:p>
    <w:p w:rsidR="005621BB" w:rsidRDefault="005621BB" w:rsidP="005621BB">
      <w:pPr>
        <w:pStyle w:val="bpuSponsor"/>
      </w:pPr>
      <w:r>
        <w:t xml:space="preserve">CURRENT VERSION OF TEXT </w:t>
      </w:r>
    </w:p>
    <w:p w:rsidR="005621BB" w:rsidRDefault="005621BB" w:rsidP="005621BB">
      <w:pPr>
        <w:pStyle w:val="bpuNormText"/>
      </w:pPr>
      <w:r>
        <w:tab/>
        <w:t>As introduced.</w:t>
      </w:r>
    </w:p>
    <w:p w:rsidR="005621BB" w:rsidRDefault="005621BB" w:rsidP="005621B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621BB" w:rsidRDefault="005621BB" w:rsidP="008916EC">
      <w:pPr>
        <w:pStyle w:val="FronterPage"/>
        <w:tabs>
          <w:tab w:val="clear" w:pos="720"/>
          <w:tab w:val="clear" w:pos="1440"/>
          <w:tab w:val="clear" w:pos="2160"/>
          <w:tab w:val="clear" w:pos="2880"/>
          <w:tab w:val="clear" w:pos="3600"/>
          <w:tab w:val="clear" w:pos="4320"/>
          <w:tab w:val="clear" w:pos="5040"/>
        </w:tabs>
        <w:sectPr w:rsidR="005621BB" w:rsidSect="005621BB">
          <w:type w:val="continuous"/>
          <w:pgSz w:w="12240" w:h="20160" w:code="5"/>
          <w:pgMar w:top="1440" w:right="2275" w:bottom="1440" w:left="2275" w:header="72" w:footer="720" w:gutter="0"/>
          <w:pgNumType w:start="1"/>
          <w:cols w:space="720"/>
          <w:docGrid w:linePitch="360"/>
        </w:sectPr>
      </w:pPr>
    </w:p>
    <w:p w:rsidR="00496A78" w:rsidRPr="00677316" w:rsidRDefault="00496A78" w:rsidP="00496A78">
      <w:pPr>
        <w:pStyle w:val="HangingAnAct"/>
        <w:rPr>
          <w:rStyle w:val="HangingAnActChar"/>
        </w:rPr>
      </w:pPr>
      <w:r w:rsidRPr="00496A78">
        <w:rPr>
          <w:rStyle w:val="BillHead"/>
        </w:rPr>
        <w:lastRenderedPageBreak/>
        <w:t>An Act</w:t>
      </w:r>
      <w:r w:rsidRPr="006B7FA7">
        <w:rPr>
          <w:rStyle w:val="HangingAnActChar"/>
        </w:rPr>
        <w:t xml:space="preserve"> </w:t>
      </w:r>
      <w:r>
        <w:rPr>
          <w:rStyle w:val="HangingAnActChar"/>
        </w:rPr>
        <w:t xml:space="preserve">concerning physical and psychological examinations of sexual assault victims and supplementing Title 2A of the New Jersey Statutes. </w:t>
      </w:r>
    </w:p>
    <w:p w:rsidR="00496A78" w:rsidRPr="00D71D68" w:rsidRDefault="00496A78" w:rsidP="00496A78"/>
    <w:p w:rsidR="00496A78" w:rsidRPr="00AA7880" w:rsidRDefault="00496A78" w:rsidP="00496A78">
      <w:r>
        <w:tab/>
      </w:r>
      <w:r>
        <w:rPr>
          <w:rStyle w:val="BillHeading2"/>
        </w:rPr>
        <w:t xml:space="preserve">Be It Enacted </w:t>
      </w:r>
      <w:r>
        <w:rPr>
          <w:rStyle w:val="BillLanguage"/>
        </w:rPr>
        <w:t>by the Senate and General Assembly of the State of New Jersey:</w:t>
      </w:r>
    </w:p>
    <w:p w:rsidR="00496A78" w:rsidRDefault="00496A78" w:rsidP="00496A78"/>
    <w:p w:rsidR="00496A78" w:rsidRDefault="00496A78" w:rsidP="00496A78">
      <w:r>
        <w:tab/>
      </w:r>
      <w:r w:rsidR="00BC7CBD">
        <w:t xml:space="preserve"> </w:t>
      </w:r>
      <w:r>
        <w:t>1.</w:t>
      </w:r>
      <w:r>
        <w:tab/>
        <w:t>a. In a civil action for damages arising from an alleged violation of aggravated sexual assault, sexual assault, aggravated criminal sexual contact, criminal sexual contact, or human trafficking involving sexual activity, the court may, on motion by the defendant and after conducting a hearing in camera, order a physical or psychological examination of the alleged victim upon making findings as provided in subsection b. of this section.</w:t>
      </w:r>
    </w:p>
    <w:p w:rsidR="00496A78" w:rsidRDefault="00496A78" w:rsidP="00496A78">
      <w:r>
        <w:tab/>
      </w:r>
      <w:r w:rsidR="00BC7CBD">
        <w:t xml:space="preserve"> </w:t>
      </w:r>
      <w:r>
        <w:t>b.</w:t>
      </w:r>
      <w:r>
        <w:tab/>
        <w:t>An order under this section may be entered only if the court determines that:</w:t>
      </w:r>
    </w:p>
    <w:p w:rsidR="00496A78" w:rsidRDefault="00496A78" w:rsidP="00496A78">
      <w:r>
        <w:tab/>
        <w:t>(1)</w:t>
      </w:r>
      <w:r>
        <w:tab/>
        <w:t>the defendant has made a sufficient showing, by clear and convincing evidence, that:</w:t>
      </w:r>
    </w:p>
    <w:p w:rsidR="00496A78" w:rsidRDefault="00496A78" w:rsidP="00496A78">
      <w:r>
        <w:tab/>
        <w:t>(a)</w:t>
      </w:r>
      <w:r>
        <w:tab/>
        <w:t xml:space="preserve">an examination can produce competent evidence that has overwhelming probative worth; and </w:t>
      </w:r>
    </w:p>
    <w:p w:rsidR="00496A78" w:rsidRDefault="00496A78" w:rsidP="00496A78">
      <w:r>
        <w:tab/>
        <w:t>(b)</w:t>
      </w:r>
      <w:r>
        <w:tab/>
        <w:t xml:space="preserve">the evidence produced by the examination, if admitted and believed by the trier of fact, could refute or neutralize incriminating evidence or impugn the credibility of a plaintiff’s witness; and </w:t>
      </w:r>
    </w:p>
    <w:p w:rsidR="00496A78" w:rsidRDefault="00496A78" w:rsidP="00496A78">
      <w:r>
        <w:tab/>
        <w:t>(2)</w:t>
      </w:r>
      <w:r>
        <w:tab/>
        <w:t>the need for an examination clearly outweighs the possible harmful consequences to the alleged victim.</w:t>
      </w:r>
    </w:p>
    <w:p w:rsidR="00496A78" w:rsidRDefault="00496A78" w:rsidP="00496A78"/>
    <w:p w:rsidR="00496A78" w:rsidRPr="00AA7880" w:rsidRDefault="00496A78" w:rsidP="00496A78">
      <w:r>
        <w:tab/>
      </w:r>
      <w:r w:rsidR="00BC7CBD">
        <w:t xml:space="preserve"> </w:t>
      </w:r>
      <w:r>
        <w:t>2.</w:t>
      </w:r>
      <w:r>
        <w:tab/>
        <w:t>This act shall take effect immediately.</w:t>
      </w:r>
    </w:p>
    <w:p w:rsidR="00496A78" w:rsidRDefault="00496A78" w:rsidP="00496A78"/>
    <w:p w:rsidR="00496A78" w:rsidRDefault="00496A78" w:rsidP="00496A78"/>
    <w:p w:rsidR="00496A78" w:rsidRPr="00AA7880" w:rsidRDefault="00496A78" w:rsidP="00496A78">
      <w:pPr>
        <w:jc w:val="center"/>
      </w:pPr>
      <w:r w:rsidRPr="00D71D68">
        <w:t>STATEMENT</w:t>
      </w:r>
    </w:p>
    <w:p w:rsidR="00496A78" w:rsidRDefault="00496A78" w:rsidP="00496A78"/>
    <w:p w:rsidR="00496A78" w:rsidRDefault="00496A78" w:rsidP="00496A78">
      <w:r>
        <w:tab/>
        <w:t>This bill establishes the circumstances under which a court may order a physical or psychological examination of an alleged victim of sexual assault in a civil action filed by the victim for damages arising out of the alleged sexual assault.</w:t>
      </w:r>
    </w:p>
    <w:p w:rsidR="00496A78" w:rsidRDefault="00496A78" w:rsidP="00496A78">
      <w:r>
        <w:tab/>
        <w:t xml:space="preserve">With regard to criminal prosecutions, the New Jersey Supreme Court has set forth the standard for compelling, at the request of a criminal defendant, a child victim of sexual assault to submit to a physical examination for evidence relating to the alleged abuse.  In the case of </w:t>
      </w:r>
      <w:r w:rsidRPr="00821090">
        <w:rPr>
          <w:u w:val="single"/>
        </w:rPr>
        <w:t>State</w:t>
      </w:r>
      <w:r>
        <w:t xml:space="preserve"> v. </w:t>
      </w:r>
      <w:r w:rsidRPr="00821090">
        <w:rPr>
          <w:u w:val="single"/>
        </w:rPr>
        <w:t>D.R.H.</w:t>
      </w:r>
      <w:r>
        <w:t xml:space="preserve">, 127 </w:t>
      </w:r>
      <w:r w:rsidRPr="00821090">
        <w:rPr>
          <w:u w:val="single"/>
        </w:rPr>
        <w:t>N.J.</w:t>
      </w:r>
      <w:r>
        <w:t xml:space="preserve"> 249 (1992), the court held that courts may order the physical examination of a child sex-abuse victim only when satisfied that the defendant has made a sufficient showing that such an examination can produce competent evidence that has substantial probative worth and, if admitted and believed by the trier of fact, that the evidence could refute or neutralize incriminating evidence or impugn the credibility of prosecution witnesses.  The court further held that it must be satisfied that the </w:t>
      </w:r>
      <w:r>
        <w:lastRenderedPageBreak/>
        <w:t xml:space="preserve">defendant’s need clearly outweighs the possible harmful consequences to the alleged victim.  </w:t>
      </w:r>
    </w:p>
    <w:p w:rsidR="00496A78" w:rsidRDefault="00496A78" w:rsidP="00496A78">
      <w:r>
        <w:tab/>
        <w:t xml:space="preserve">This bill codifies a higher standard of proof than the standard set forth in </w:t>
      </w:r>
      <w:r w:rsidRPr="00821090">
        <w:rPr>
          <w:u w:val="single"/>
        </w:rPr>
        <w:t>State</w:t>
      </w:r>
      <w:r>
        <w:t xml:space="preserve"> v. </w:t>
      </w:r>
      <w:r w:rsidRPr="00821090">
        <w:rPr>
          <w:u w:val="single"/>
        </w:rPr>
        <w:t>D.R.H.</w:t>
      </w:r>
      <w:r>
        <w:t xml:space="preserve"> and applies it to alleged victims who file civil actions for damages arising from an alleged violation of aggravated sexual assault, sexual assault, aggravated criminal sexual contact, criminal sexual contact, or human traffick</w:t>
      </w:r>
      <w:r w:rsidR="00517E88">
        <w:t xml:space="preserve">ing involving sexual activity. </w:t>
      </w:r>
      <w:r>
        <w:t>This heightened standard established under the bill relates to both physical and psychological examinations and to both adult and child alleged victims of sexual assault.</w:t>
      </w:r>
    </w:p>
    <w:p w:rsidR="00496A78" w:rsidRPr="00D71D68" w:rsidRDefault="00496A78" w:rsidP="00496A78">
      <w:r>
        <w:tab/>
        <w:t xml:space="preserve">Under the bill, a court may order a physical or psychological examination of an alleged victim of aggravated sexual assault, sexual assault, aggravated criminal sexual contact, criminal sexual contact, and human trafficking involving sexual activity, on motion and after conducting a hearing </w:t>
      </w:r>
      <w:r w:rsidRPr="003F2CAB">
        <w:rPr>
          <w:i/>
        </w:rPr>
        <w:t>in camera</w:t>
      </w:r>
      <w:r>
        <w:t>, provided the court makes sufficient findings as set forth under the bill.  Prior to ordering an examination, the court is required to determine that: the defendant has made a sufficient showing, by clear and convincing evidence, that an examination can produce competent evidence that has overwhelming probative worth, and that the evidence produced by the examination, if admitted and believed by the trier of fact, could refute or neutralize incriminating evidence or impugn the credibility of a prosecution witness.  The court also is required to find that the need for an examination clearly outweighs the possible harmful consequences to the alleged victim.</w:t>
      </w:r>
    </w:p>
    <w:sectPr w:rsidR="00496A78" w:rsidRPr="00D71D68" w:rsidSect="005621B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5AD2" w:rsidRDefault="00855AD2">
      <w:r>
        <w:separator/>
      </w:r>
    </w:p>
  </w:endnote>
  <w:endnote w:type="continuationSeparator" w:id="0">
    <w:p w:rsidR="00855AD2" w:rsidRDefault="00855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2CD1" w:rsidRDefault="009F1934" w:rsidP="009F1934">
    <w:pPr>
      <w:pStyle w:val="sponUdate"/>
    </w:pPr>
    <w:r>
      <w:t>(Sponsorship Updated As Of: 8/13/2020)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5AD2" w:rsidRDefault="00855AD2">
      <w:r>
        <w:separator/>
      </w:r>
    </w:p>
  </w:footnote>
  <w:footnote w:type="continuationSeparator" w:id="0">
    <w:p w:rsidR="00855AD2" w:rsidRDefault="00855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E530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621BB" w:rsidRDefault="005621BB" w:rsidP="005621BB">
    <w:pPr>
      <w:pStyle w:val="bpuHeadSpon"/>
    </w:pPr>
    <w:r w:rsidRPr="005621BB">
      <w:rPr>
        <w:rStyle w:val="bpuHeadSponChar"/>
      </w:rPr>
      <w:t>A3249</w:t>
    </w:r>
    <w:r>
      <w:t xml:space="preserve"> MURPHY</w:t>
    </w:r>
    <w:r w:rsidR="00372CD1">
      <w:t>, VAINIERI HUTTLE</w:t>
    </w:r>
  </w:p>
  <w:p w:rsidR="005621BB" w:rsidRDefault="005621BB" w:rsidP="005621BB">
    <w:pPr>
      <w:pStyle w:val="bpuHeadSpon"/>
    </w:pPr>
    <w:r>
      <w:fldChar w:fldCharType="begin"/>
    </w:r>
    <w:r>
      <w:instrText xml:space="preserve"> PAGE  \* MERGEFORMAT </w:instrText>
    </w:r>
    <w:r>
      <w:fldChar w:fldCharType="separate"/>
    </w:r>
    <w:r w:rsidR="006E5303">
      <w:rPr>
        <w:noProof/>
      </w:rPr>
      <w:t>3</w:t>
    </w:r>
    <w:r>
      <w:fldChar w:fldCharType="end"/>
    </w:r>
  </w:p>
  <w:p w:rsidR="005621BB" w:rsidRDefault="005621BB" w:rsidP="005621B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621BB" w:rsidRDefault="005621BB" w:rsidP="005621BB">
    <w:pPr>
      <w:pStyle w:val="bpuHeadSpon"/>
    </w:pPr>
    <w:r w:rsidRPr="005621BB">
      <w:rPr>
        <w:rStyle w:val="bpuHeadSponChar"/>
      </w:rPr>
      <w:t>A3249</w:t>
    </w:r>
    <w:r>
      <w:t xml:space="preserve"> MURPHY</w:t>
    </w:r>
    <w:r w:rsidR="00372CD1">
      <w:t>, VAINIERI HUTTLE</w:t>
    </w:r>
  </w:p>
  <w:p w:rsidR="005621BB" w:rsidRDefault="005621BB" w:rsidP="005621BB">
    <w:pPr>
      <w:pStyle w:val="bpuHeadSpon"/>
    </w:pPr>
    <w:r>
      <w:fldChar w:fldCharType="begin"/>
    </w:r>
    <w:r>
      <w:instrText xml:space="preserve"> PAGE  \* MERGEFORMAT </w:instrText>
    </w:r>
    <w:r>
      <w:fldChar w:fldCharType="separate"/>
    </w:r>
    <w:r w:rsidR="006E5303">
      <w:rPr>
        <w:noProof/>
      </w:rPr>
      <w:t>2</w:t>
    </w:r>
    <w:r>
      <w:fldChar w:fldCharType="end"/>
    </w:r>
  </w:p>
  <w:p w:rsidR="005621BB" w:rsidRDefault="005621BB" w:rsidP="005621B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AD2"/>
    <w:rsid w:val="000051BD"/>
    <w:rsid w:val="000160A5"/>
    <w:rsid w:val="0002335B"/>
    <w:rsid w:val="0003549A"/>
    <w:rsid w:val="000367AE"/>
    <w:rsid w:val="00043B22"/>
    <w:rsid w:val="00054975"/>
    <w:rsid w:val="00057D20"/>
    <w:rsid w:val="0006197C"/>
    <w:rsid w:val="0006281F"/>
    <w:rsid w:val="00080F48"/>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3C16"/>
    <w:rsid w:val="001B4716"/>
    <w:rsid w:val="001B4EA4"/>
    <w:rsid w:val="001C7C52"/>
    <w:rsid w:val="001D25F3"/>
    <w:rsid w:val="001E15F1"/>
    <w:rsid w:val="001E16FA"/>
    <w:rsid w:val="001E6213"/>
    <w:rsid w:val="001F14C7"/>
    <w:rsid w:val="001F50A2"/>
    <w:rsid w:val="001F7405"/>
    <w:rsid w:val="00205533"/>
    <w:rsid w:val="00212B8D"/>
    <w:rsid w:val="00222983"/>
    <w:rsid w:val="002328C4"/>
    <w:rsid w:val="002370D0"/>
    <w:rsid w:val="00247E8B"/>
    <w:rsid w:val="00255958"/>
    <w:rsid w:val="00257FA2"/>
    <w:rsid w:val="0026574A"/>
    <w:rsid w:val="002660BB"/>
    <w:rsid w:val="002720E8"/>
    <w:rsid w:val="00275293"/>
    <w:rsid w:val="00276BE4"/>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2CD1"/>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1F85"/>
    <w:rsid w:val="00484144"/>
    <w:rsid w:val="00484C19"/>
    <w:rsid w:val="00485866"/>
    <w:rsid w:val="00492076"/>
    <w:rsid w:val="00493B1D"/>
    <w:rsid w:val="00496A78"/>
    <w:rsid w:val="00497037"/>
    <w:rsid w:val="004A3009"/>
    <w:rsid w:val="004A6940"/>
    <w:rsid w:val="004A77A4"/>
    <w:rsid w:val="004C742C"/>
    <w:rsid w:val="004E1F3E"/>
    <w:rsid w:val="004F21BD"/>
    <w:rsid w:val="004F4F1D"/>
    <w:rsid w:val="004F74DD"/>
    <w:rsid w:val="00501317"/>
    <w:rsid w:val="0050495C"/>
    <w:rsid w:val="00505144"/>
    <w:rsid w:val="00505DC9"/>
    <w:rsid w:val="00506E1E"/>
    <w:rsid w:val="00513C81"/>
    <w:rsid w:val="00517E88"/>
    <w:rsid w:val="00527BFB"/>
    <w:rsid w:val="0053245C"/>
    <w:rsid w:val="00532A32"/>
    <w:rsid w:val="00540B0B"/>
    <w:rsid w:val="0054460F"/>
    <w:rsid w:val="005536CD"/>
    <w:rsid w:val="00554051"/>
    <w:rsid w:val="00557240"/>
    <w:rsid w:val="005621BB"/>
    <w:rsid w:val="005651F3"/>
    <w:rsid w:val="00572184"/>
    <w:rsid w:val="00577A15"/>
    <w:rsid w:val="00580533"/>
    <w:rsid w:val="0059131D"/>
    <w:rsid w:val="005B3F92"/>
    <w:rsid w:val="005B479C"/>
    <w:rsid w:val="005B561E"/>
    <w:rsid w:val="005C07E4"/>
    <w:rsid w:val="005C0D0D"/>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27971"/>
    <w:rsid w:val="00635316"/>
    <w:rsid w:val="00635449"/>
    <w:rsid w:val="006378C5"/>
    <w:rsid w:val="00645E6A"/>
    <w:rsid w:val="00665CBC"/>
    <w:rsid w:val="00667A5C"/>
    <w:rsid w:val="00677316"/>
    <w:rsid w:val="00686AEB"/>
    <w:rsid w:val="006B64FB"/>
    <w:rsid w:val="006B7897"/>
    <w:rsid w:val="006B7FA7"/>
    <w:rsid w:val="006C086A"/>
    <w:rsid w:val="006C21C1"/>
    <w:rsid w:val="006C7327"/>
    <w:rsid w:val="006D00E5"/>
    <w:rsid w:val="006D791B"/>
    <w:rsid w:val="006E2895"/>
    <w:rsid w:val="006E5303"/>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AD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1934"/>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C7CB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52F8"/>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1561"/>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D3086C9-129B-4E52-8AB1-C0DFE170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621BB"/>
  </w:style>
  <w:style w:type="paragraph" w:styleId="BalloonText">
    <w:name w:val="Balloon Text"/>
    <w:basedOn w:val="Normal"/>
    <w:link w:val="BalloonTextChar"/>
    <w:semiHidden/>
    <w:unhideWhenUsed/>
    <w:rsid w:val="005324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3245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672</Words>
  <Characters>3706</Characters>
  <Application>Microsoft Office Word</Application>
  <DocSecurity>0</DocSecurity>
  <Lines>102</Lines>
  <Paragraphs>29</Paragraphs>
  <ScaleCrop>false</ScaleCrop>
  <HeadingPairs>
    <vt:vector size="2" baseType="variant">
      <vt:variant>
        <vt:lpstr>Title</vt:lpstr>
      </vt:variant>
      <vt:variant>
        <vt:i4>1</vt:i4>
      </vt:variant>
    </vt:vector>
  </HeadingPairs>
  <TitlesOfParts>
    <vt:vector size="1" baseType="lpstr">
      <vt:lpstr>A3249</vt:lpstr>
    </vt:vector>
  </TitlesOfParts>
  <Manager>R224</Manager>
  <Company>NJ Office of Legislative Services</Company>
  <LinksUpToDate>false</LinksUpToDate>
  <CharactersWithSpaces>4384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A3249</dc:title>
  <dc:subject/>
  <dc:creator>Assemblywoman  MURPHY</dc:creator>
  <cp:keywords>A3249|3|LP |276|0|276|N|0|</cp:keywords>
  <dc:description>INTRODUCED FEBRUARY 25, 2020</dc:description>
  <cp:lastModifiedBy>Todaro, Vivian</cp:lastModifiedBy>
  <cp:revision>2</cp:revision>
  <cp:lastPrinted>2020-08-14T16:51:00Z</cp:lastPrinted>
  <dcterms:created xsi:type="dcterms:W3CDTF">2020-08-14T16:51:00Z</dcterms:created>
  <dcterms:modified xsi:type="dcterms:W3CDTF">2020-08-14T16:51:00Z</dcterms:modified>
  <cp:category>s.1: C.2A:61B-2 to 2019/336_x000d_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