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48A8" w:rsidRDefault="00A848A8" w:rsidP="00A848A8">
      <w:pPr>
        <w:pStyle w:val="bpuBill"/>
      </w:pPr>
      <w:bookmarkStart w:id="0" w:name="bpuFrontPg"/>
      <w:bookmarkStart w:id="1" w:name="_GoBack"/>
      <w:bookmarkEnd w:id="0"/>
      <w:bookmarkEnd w:id="1"/>
      <w:r>
        <w:t xml:space="preserve">ASSEMBLY, No. 3306 </w:t>
      </w:r>
    </w:p>
    <w:p w:rsidR="00A848A8" w:rsidRPr="009D38FF" w:rsidRDefault="00A848A8" w:rsidP="00A848A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7771" r:id="rId7"/>
        </w:object>
      </w:r>
    </w:p>
    <w:p w:rsidR="00A848A8" w:rsidRDefault="00A848A8" w:rsidP="00A848A8">
      <w:pPr>
        <w:pStyle w:val="bpuState"/>
      </w:pPr>
      <w:r>
        <w:t>STATE OF NEW JERSEY</w:t>
      </w:r>
    </w:p>
    <w:p w:rsidR="00A848A8" w:rsidRDefault="00A848A8" w:rsidP="00A848A8">
      <w:pPr>
        <w:pStyle w:val="bpuLegislature"/>
      </w:pPr>
      <w:r>
        <w:t>219th LEGISLATURE</w:t>
      </w:r>
    </w:p>
    <w:p w:rsidR="00A848A8" w:rsidRDefault="00A848A8" w:rsidP="00A848A8">
      <w:pPr>
        <w:pStyle w:val="bpuWpGraphic"/>
      </w:pPr>
      <w:r>
        <w:object w:dxaOrig="8985" w:dyaOrig="255">
          <v:shape id="_x0000_i1026" type="#_x0000_t75" style="width:6in;height:12pt" o:ole="">
            <v:imagedata r:id="rId6" o:title=""/>
          </v:shape>
          <o:OLEObject Type="Embed" ProgID="WPWin6.1" ShapeID="_x0000_i1026" DrawAspect="Content" ObjectID="_1644167772" r:id="rId8"/>
        </w:object>
      </w:r>
      <w:r>
        <w:t xml:space="preserve">  </w:t>
      </w:r>
    </w:p>
    <w:p w:rsidR="00A848A8" w:rsidRDefault="00A848A8" w:rsidP="00A848A8">
      <w:pPr>
        <w:pStyle w:val="bpuIntro"/>
      </w:pPr>
      <w:r>
        <w:t>INTRODUCED FEBRUARY 25, 2020</w:t>
      </w:r>
    </w:p>
    <w:p w:rsidR="00A848A8" w:rsidRDefault="00A848A8" w:rsidP="00A848A8">
      <w:pPr>
        <w:pStyle w:val="bpuIntro"/>
      </w:pPr>
    </w:p>
    <w:p w:rsidR="00A848A8" w:rsidRDefault="00A848A8" w:rsidP="00A848A8">
      <w:pPr>
        <w:pStyle w:val="bpuIntro"/>
        <w:sectPr w:rsidR="00A848A8" w:rsidSect="00A848A8">
          <w:headerReference w:type="even" r:id="rId9"/>
          <w:headerReference w:type="default" r:id="rId10"/>
          <w:pgSz w:w="12240" w:h="20160" w:code="5"/>
          <w:pgMar w:top="2160" w:right="1440" w:bottom="1440" w:left="1440" w:header="72" w:footer="720" w:gutter="0"/>
          <w:pgNumType w:start="1"/>
          <w:cols w:space="720"/>
          <w:docGrid w:linePitch="360"/>
        </w:sectPr>
      </w:pPr>
    </w:p>
    <w:p w:rsidR="00A848A8" w:rsidRDefault="00A848A8" w:rsidP="00A848A8">
      <w:pPr>
        <w:pStyle w:val="bpuIntro"/>
      </w:pPr>
    </w:p>
    <w:p w:rsidR="00A848A8" w:rsidRDefault="00A848A8" w:rsidP="00A848A8">
      <w:pPr>
        <w:pStyle w:val="bpuSponsor"/>
      </w:pPr>
      <w:r>
        <w:t>Sponsored by:</w:t>
      </w:r>
    </w:p>
    <w:p w:rsidR="00A848A8" w:rsidRDefault="00A848A8" w:rsidP="00A848A8">
      <w:pPr>
        <w:pStyle w:val="bpuSponsor"/>
      </w:pPr>
      <w:r>
        <w:t>Assemblyman  GREGORY P. MCGUCKIN</w:t>
      </w:r>
    </w:p>
    <w:p w:rsidR="00A848A8" w:rsidRDefault="00A848A8" w:rsidP="00A848A8">
      <w:pPr>
        <w:pStyle w:val="bpuSponsor"/>
      </w:pPr>
      <w:r>
        <w:t>District 10 (Ocean)</w:t>
      </w:r>
    </w:p>
    <w:p w:rsidR="00A848A8" w:rsidRDefault="00A848A8" w:rsidP="00A848A8">
      <w:pPr>
        <w:pStyle w:val="bpuSponsor"/>
      </w:pPr>
      <w:r>
        <w:t>Assemblyman  JOHN CATALANO</w:t>
      </w:r>
    </w:p>
    <w:p w:rsidR="00A848A8" w:rsidRDefault="00A848A8" w:rsidP="00A848A8">
      <w:pPr>
        <w:pStyle w:val="bpuSponsor"/>
      </w:pPr>
      <w:r>
        <w:t>District 10 (Ocean)</w:t>
      </w:r>
    </w:p>
    <w:p w:rsidR="00A848A8" w:rsidRDefault="00A848A8" w:rsidP="00A848A8">
      <w:pPr>
        <w:pStyle w:val="bpuSponsor"/>
      </w:pPr>
    </w:p>
    <w:p w:rsidR="00A848A8" w:rsidRDefault="00A848A8" w:rsidP="00A848A8">
      <w:pPr>
        <w:pStyle w:val="bpuSponsor"/>
      </w:pPr>
    </w:p>
    <w:p w:rsidR="00A848A8" w:rsidRDefault="00A848A8" w:rsidP="00A848A8">
      <w:pPr>
        <w:pStyle w:val="bpuSponsor"/>
      </w:pPr>
    </w:p>
    <w:p w:rsidR="00A848A8" w:rsidRDefault="00A848A8" w:rsidP="00A848A8">
      <w:pPr>
        <w:pStyle w:val="bpuSponsor"/>
      </w:pPr>
    </w:p>
    <w:p w:rsidR="00A848A8" w:rsidRDefault="00A848A8" w:rsidP="00A848A8">
      <w:pPr>
        <w:pStyle w:val="bpuSponsor"/>
      </w:pPr>
      <w:r>
        <w:t>SYNOPSIS</w:t>
      </w:r>
    </w:p>
    <w:p w:rsidR="00A848A8" w:rsidRDefault="00A848A8" w:rsidP="00A848A8">
      <w:pPr>
        <w:pStyle w:val="bpuNormText"/>
      </w:pPr>
      <w:r>
        <w:tab/>
        <w:t xml:space="preserve">Excludes passenger and freight rail projects from purposes for which revenue from increase in petroleum products gross receipts tax revenue may be used. </w:t>
      </w:r>
    </w:p>
    <w:p w:rsidR="00A848A8" w:rsidRDefault="00A848A8" w:rsidP="00A848A8">
      <w:pPr>
        <w:pStyle w:val="bpuNormText"/>
      </w:pPr>
    </w:p>
    <w:p w:rsidR="00A848A8" w:rsidRDefault="00A848A8" w:rsidP="00A848A8">
      <w:pPr>
        <w:pStyle w:val="bpuSponsor"/>
      </w:pPr>
      <w:r>
        <w:t xml:space="preserve">CURRENT VERSION OF TEXT </w:t>
      </w:r>
    </w:p>
    <w:p w:rsidR="00A848A8" w:rsidRDefault="00A848A8" w:rsidP="00A848A8">
      <w:pPr>
        <w:pStyle w:val="bpuNormText"/>
      </w:pPr>
      <w:r>
        <w:tab/>
        <w:t>As introduced.</w:t>
      </w:r>
    </w:p>
    <w:p w:rsidR="00A848A8" w:rsidRDefault="00A848A8" w:rsidP="00A848A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848A8" w:rsidRDefault="00A848A8" w:rsidP="008916EC">
      <w:pPr>
        <w:pStyle w:val="FronterPage"/>
        <w:tabs>
          <w:tab w:val="clear" w:pos="720"/>
          <w:tab w:val="clear" w:pos="1440"/>
          <w:tab w:val="clear" w:pos="2160"/>
          <w:tab w:val="clear" w:pos="2880"/>
          <w:tab w:val="clear" w:pos="3600"/>
          <w:tab w:val="clear" w:pos="4320"/>
          <w:tab w:val="clear" w:pos="5040"/>
        </w:tabs>
        <w:sectPr w:rsidR="00A848A8" w:rsidSect="00A848A8">
          <w:type w:val="continuous"/>
          <w:pgSz w:w="12240" w:h="20160" w:code="5"/>
          <w:pgMar w:top="1440" w:right="2275" w:bottom="1440" w:left="2275" w:header="72" w:footer="720" w:gutter="0"/>
          <w:pgNumType w:start="1"/>
          <w:cols w:space="720"/>
          <w:docGrid w:linePitch="360"/>
        </w:sectPr>
      </w:pPr>
    </w:p>
    <w:p w:rsidR="00EA3A98" w:rsidRPr="004B5581" w:rsidRDefault="00EA3A98" w:rsidP="00EA3A98">
      <w:pPr>
        <w:pStyle w:val="HangingAnAct"/>
      </w:pPr>
      <w:r w:rsidRPr="00EA3A98">
        <w:rPr>
          <w:rStyle w:val="BillHead"/>
        </w:rPr>
        <w:lastRenderedPageBreak/>
        <w:t>An Act</w:t>
      </w:r>
      <w:r w:rsidRPr="004B5581">
        <w:t xml:space="preserve"> concerning passenger and freight rail projects and amending P.L.1984, c.73.</w:t>
      </w:r>
    </w:p>
    <w:p w:rsidR="00EA3A98" w:rsidRPr="004B5581" w:rsidRDefault="00EA3A98" w:rsidP="00EA3A98"/>
    <w:p w:rsidR="00EA3A98" w:rsidRPr="004B5581" w:rsidRDefault="00EA3A98" w:rsidP="00EA3A98">
      <w:r w:rsidRPr="004B5581">
        <w:tab/>
      </w:r>
      <w:r w:rsidRPr="004B5581">
        <w:rPr>
          <w:b/>
          <w:smallCaps/>
          <w:szCs w:val="18"/>
        </w:rPr>
        <w:t xml:space="preserve">Be It Enacted </w:t>
      </w:r>
      <w:r w:rsidRPr="004B5581">
        <w:rPr>
          <w:i/>
          <w:szCs w:val="18"/>
        </w:rPr>
        <w:t>by the Senate and General Assembly of the State of New Jersey:</w:t>
      </w:r>
    </w:p>
    <w:p w:rsidR="00EA3A98" w:rsidRPr="004B5581" w:rsidRDefault="00EA3A98" w:rsidP="00EA3A98"/>
    <w:p w:rsidR="00EA3A98" w:rsidRPr="004B5581" w:rsidRDefault="00E1735D" w:rsidP="00EA3A98">
      <w:r>
        <w:tab/>
        <w:t>1.</w:t>
      </w:r>
      <w:r>
        <w:tab/>
      </w:r>
      <w:r w:rsidR="00EA3A98" w:rsidRPr="004B5581">
        <w:t>Section 21 of P.L.1984, c.</w:t>
      </w:r>
      <w:r w:rsidR="00EA3A98" w:rsidRPr="00924E5A">
        <w:t>73 (C.27:1B-21)</w:t>
      </w:r>
      <w:r w:rsidR="00EA3A98" w:rsidRPr="004B5581">
        <w:t xml:space="preserve"> is amended to read as follows:</w:t>
      </w:r>
    </w:p>
    <w:p w:rsidR="00E1735D" w:rsidRDefault="00467E09" w:rsidP="00E1735D">
      <w:r>
        <w:tab/>
        <w:t>21.</w:t>
      </w:r>
      <w:r>
        <w:tab/>
        <w:t xml:space="preserve">a.  </w:t>
      </w:r>
      <w:r w:rsidR="00E1735D">
        <w:t>There is hereby established a separate fund entitled "Special Transportation Fund." This fund shall be maintained by the State Treasurer and may be held in depositories as may be selected by the treasurer and invested and reinvested as other funds in the custody of the treasurer, in the manner provided by law.  The commissioner may from time to time (but not more frequently than monthly) certify to the authority an amount necessary to fund payments made, or anticipated to be made by or on behalf of the department, from appropriations established for or made to the department from revenues or other funds of the authority.  The commissioner's certification shall be deemed conclusive for purposes of the act. The authority shall, within 15 days of receipt of the certificate, transfer from available funds of the authority to the treasurer for deposit in the Special Transportation Fund the amount certified by the commissioner, provided that all funds transferred shall only be expended by the department by project pursuant to appropriations made from time to time by the Legislature for the purposes of the act.</w:t>
      </w:r>
    </w:p>
    <w:p w:rsidR="00E1735D" w:rsidRDefault="00E1735D" w:rsidP="00E1735D">
      <w:r>
        <w:tab/>
        <w:t>b.</w:t>
      </w:r>
      <w:r>
        <w:tab/>
        <w:t>The department shall not expend any money except as appropriated by law. Commencing with appropriations for the fiscal years beginning on July 1, 1988, the department shall not expend any funds, other than for permitted maintenance, except as are appropriated by specific projects identified by a description of the projects, the county or counties within which they are located, and amounts to be expended on each project, in the annual appropriations act. Funds expended for permitted maintenance may be appropriated as one item of appropriation and subject to allocation at the commissioner's discretion.</w:t>
      </w:r>
    </w:p>
    <w:p w:rsidR="00E1735D" w:rsidRDefault="00E1735D" w:rsidP="00E1735D">
      <w:r>
        <w:tab/>
        <w:t>c.</w:t>
      </w:r>
      <w:r>
        <w:tab/>
        <w:t>No funds appropriated, authorized, or expended pursuant to this act shall be used to finance the resurfacing of highways by department personnel, where that resurfacing would require the use of more than 100,000 tons of bituminous concrete for that purpose in any calendar year, except that the commissioner may waive this provision when the commissioner determines the existence of emergency conditions requiring the use of department personnel for the resurfacing of highways, after the department has effectively reached the 100,000 ton limit.</w:t>
      </w:r>
    </w:p>
    <w:p w:rsidR="00E1735D" w:rsidRDefault="00E1735D" w:rsidP="00E1735D">
      <w:r>
        <w:tab/>
        <w:t>d.</w:t>
      </w:r>
      <w:r>
        <w:tab/>
        <w:t>In order to provide the department with flexibility in administering the specific appropriations by project identified in the annual appropriations act, the commissioner may transfer a part of any item to any other item subject to the approval of the Director of the Division of Budget and Accounting and of the Joint Budget Oversight Committee or its successor.  Upon approval of the director and the committee, the transfer shall take effect.</w:t>
      </w:r>
    </w:p>
    <w:p w:rsidR="00E1735D" w:rsidRDefault="00E1735D" w:rsidP="00E1735D">
      <w:r>
        <w:tab/>
        <w:t>e.</w:t>
      </w:r>
      <w:r>
        <w:tab/>
        <w:t>Any federal funds which become available to the State for transportation projects which have not been appropriated to the department in the annual appropriations act, shall be deemed appropriated to the department and may, subject to approval by the Joint Budget Oversight Committee and the State Treasurer, be expended for any purpose for which such funds are qualified.</w:t>
      </w:r>
    </w:p>
    <w:p w:rsidR="00E1735D" w:rsidRDefault="00E1735D" w:rsidP="00E1735D">
      <w:r>
        <w:tab/>
        <w:t>f.</w:t>
      </w:r>
      <w:r>
        <w:tab/>
        <w:t>There shall be no appropriations from the revenues and other funds of the authority for regular and routine maintenance of public highways and components thereof, or operational activities of the department unrelated to the implementation of, and indirect costs associated with, the capital program.  The commissioner shall include in his annual budget request sufficient funding to effectuate the purposes of P.L.2000, c.73 (C.27:1B-21.14 et al.).</w:t>
      </w:r>
    </w:p>
    <w:p w:rsidR="00E1735D" w:rsidRDefault="00E1735D" w:rsidP="00E1735D">
      <w:r>
        <w:tab/>
        <w:t>g.</w:t>
      </w:r>
      <w:r>
        <w:tab/>
        <w:t>To the extent that salaries or overhead of the department or the New Jersey Transit Corporation are charged to transportation projects, each agency shall keep adequate and truthful personnel records, and time charts to adequately justify each such charge, and shall make those records available to the external auditor to the authority.</w:t>
      </w:r>
    </w:p>
    <w:p w:rsidR="00E1735D" w:rsidRDefault="00E1735D" w:rsidP="00E1735D">
      <w:r>
        <w:tab/>
        <w:t>h.</w:t>
      </w:r>
      <w:r>
        <w:tab/>
        <w:t>The commissioner shall annually, on or before January 1 of each fiscal year, report to the Governor and the Legislature how much money was expended in the previous fiscal year for salaries and overhead of the department and the New Jersey Transit Corporation.  However, the amount expended from the revenues and other funds of the authority for salaries and overhead of the department and the New Jersey Transit Corporation for the fiscal year beginning July 1, 2006 through the fiscal year beginning July 1, 2015 shall not exceed 13 percent of the total funds appropriated from the revenues and other nonfederal funds of the authority for those fiscal years, and shall not exceed $208,000,000 for the fiscal year beginning July 1, 2016 and each fiscal year thereafter.</w:t>
      </w:r>
    </w:p>
    <w:p w:rsidR="00E1735D" w:rsidRDefault="00E1735D" w:rsidP="00E1735D">
      <w:r>
        <w:tab/>
        <w:t>i.</w:t>
      </w:r>
      <w:r>
        <w:tab/>
        <w:t>No revenues or other funds of the authority shall be expended for emergency response operations, the review of applications for access permits under the State highway access management code and membership fees or other fees connected with membership in TRANSCOM, the Transportation Operations Coordinating Committee.</w:t>
      </w:r>
    </w:p>
    <w:p w:rsidR="00E1735D" w:rsidRDefault="00E1735D" w:rsidP="00E1735D">
      <w:r>
        <w:tab/>
        <w:t>j.</w:t>
      </w:r>
      <w:r>
        <w:tab/>
        <w:t>Every project in which revenues or other funds of the authority are expended shall be included on a website created by the authority whose exclusive purpose shall be reporting on the status of State and federal projects and serving as a singular location for State and federal public documentation concerning those projects.  The website shall document the status of each project, presented in tabular form outlining the budgeted amount, the amount spent and committed, and the amount necessary to complete each project. The website shall include a chart which compares the planned and actual quarterly and cumulative expenditures for each project.  The website shall chronicle actions which have a bearing on the progress of projects, including, but not limited to, awards for legal, insurance, and engineering services, environmental review, public involvement and outreach, property acquisitions, and construction contracts. The website shall also include a description of any action by an external regulatory agency such as the Department of Environmental Protection, or any other party, which occurred during the reporting period that affected the cost or timely completion of any project in any manner. Information concerning each project shall be included and updated, at minimum, once per month.</w:t>
      </w:r>
    </w:p>
    <w:p w:rsidR="00EA3A98" w:rsidRPr="004B5581" w:rsidRDefault="00E1735D" w:rsidP="00E1735D">
      <w:r>
        <w:tab/>
        <w:t>k.</w:t>
      </w:r>
      <w:r>
        <w:tab/>
      </w:r>
      <w:r w:rsidRPr="00E1735D">
        <w:rPr>
          <w:rFonts w:ascii="Albertus Extra Bold" w:hAnsi="Albertus Extra Bold"/>
          <w:b/>
        </w:rPr>
        <w:t>[</w:t>
      </w:r>
      <w:r>
        <w:t>There shall be a minimum appropriation from the revenues and other funds of the authority of $25,000,000 each fiscal year, commencing with the fiscal year beginning July 1, 2016 for the design, construction, reconstruction, rehabilitation, land acquisition, and environmental mitigation of freight rail projects that include the following factors: are significant to port commerce connectivity; eliminate rail freight missing links to port facilities; upgrade freight rail trackage to a 286,000 pound load carrying capacity; or support a safe, efficient, and effective rail freight system consistent with the commissioner's rail freight authority pursuant to section 2 of P.L.1986, c.56 (C.27:1A-5.1). The amount appropriated pursuant to this subsection shall be inclusive of all amounts annually appropriated for the New Jersey Rail Freight Assistance Program.</w:t>
      </w:r>
      <w:r w:rsidRPr="00E1735D">
        <w:rPr>
          <w:rFonts w:ascii="Albertus Extra Bold" w:hAnsi="Albertus Extra Bold"/>
          <w:b/>
        </w:rPr>
        <w:t>]</w:t>
      </w:r>
      <w:r>
        <w:t xml:space="preserve"> </w:t>
      </w:r>
      <w:r w:rsidR="00EA3A98" w:rsidRPr="004B5581">
        <w:rPr>
          <w:u w:val="single"/>
        </w:rPr>
        <w:t xml:space="preserve">(Deleted by amendment, P.L.    , c. </w:t>
      </w:r>
      <w:r w:rsidR="00EA3A98">
        <w:rPr>
          <w:u w:val="single"/>
        </w:rPr>
        <w:t xml:space="preserve">  </w:t>
      </w:r>
      <w:r w:rsidR="00EA3A98" w:rsidRPr="004B5581">
        <w:rPr>
          <w:u w:val="single"/>
        </w:rPr>
        <w:t xml:space="preserve"> ) (pending before the Legislature as this bill)</w:t>
      </w:r>
    </w:p>
    <w:p w:rsidR="00EA3A98" w:rsidRPr="004B5581" w:rsidRDefault="00EA3A98" w:rsidP="00EA3A98">
      <w:r w:rsidRPr="004B5581">
        <w:tab/>
      </w:r>
      <w:r w:rsidRPr="004B5581">
        <w:rPr>
          <w:u w:val="single"/>
        </w:rPr>
        <w:t>l.</w:t>
      </w:r>
      <w:r w:rsidRPr="004B5581">
        <w:rPr>
          <w:u w:val="single"/>
        </w:rPr>
        <w:tab/>
        <w:t>Revenues derived from the increase in the rate of taxation of petroleum products gross receipts, imposed pursuant to P.L.2016, c.57, shall not be used to fund a transportation project relating to passenger rail service or freight rail service</w:t>
      </w:r>
      <w:r w:rsidRPr="004B5581">
        <w:t>.</w:t>
      </w:r>
    </w:p>
    <w:p w:rsidR="00EA3A98" w:rsidRPr="004B5581" w:rsidRDefault="002F0B18" w:rsidP="00EA3A98">
      <w:r>
        <w:t xml:space="preserve">(cf: </w:t>
      </w:r>
      <w:r w:rsidR="00E1735D" w:rsidRPr="00E1735D">
        <w:t>2019, c.196, s.5</w:t>
      </w:r>
      <w:r w:rsidR="00EA3A98" w:rsidRPr="004B5581">
        <w:t>)</w:t>
      </w:r>
    </w:p>
    <w:p w:rsidR="00EA3A98" w:rsidRPr="004B5581" w:rsidRDefault="00EA3A98" w:rsidP="00EA3A98"/>
    <w:p w:rsidR="00EA3A98" w:rsidRPr="004B5581" w:rsidRDefault="00EA3A98" w:rsidP="00EA3A98">
      <w:r w:rsidRPr="004B5581">
        <w:tab/>
        <w:t>2.</w:t>
      </w:r>
      <w:r w:rsidRPr="004B5581">
        <w:tab/>
        <w:t>This act shall take effect immediately.</w:t>
      </w:r>
    </w:p>
    <w:p w:rsidR="00EA3A98" w:rsidRPr="004B5581" w:rsidRDefault="00EA3A98" w:rsidP="00EA3A98"/>
    <w:p w:rsidR="00EA3A98" w:rsidRPr="004B5581" w:rsidRDefault="00EA3A98" w:rsidP="00EA3A98"/>
    <w:p w:rsidR="00EA3A98" w:rsidRPr="004B5581" w:rsidRDefault="00EA3A98" w:rsidP="00EA3A98">
      <w:pPr>
        <w:jc w:val="center"/>
      </w:pPr>
      <w:r w:rsidRPr="004B5581">
        <w:t>STATEMENT</w:t>
      </w:r>
    </w:p>
    <w:p w:rsidR="00EA3A98" w:rsidRPr="004B5581" w:rsidRDefault="00EA3A98" w:rsidP="00EA3A98"/>
    <w:p w:rsidR="00EA3A98" w:rsidRPr="00E7752C" w:rsidRDefault="00EA3A98" w:rsidP="00EA3A98">
      <w:r w:rsidRPr="004B5581">
        <w:tab/>
        <w:t>This bill amends existing law to exclude passenger and freight rail projects from being funded by the petroleum products gross receipts tax increase enacted on October 14, 2016.</w:t>
      </w:r>
    </w:p>
    <w:sectPr w:rsidR="00EA3A98" w:rsidRPr="00E7752C" w:rsidSect="00A848A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08B3" w:rsidRDefault="005A08B3">
      <w:r>
        <w:separator/>
      </w:r>
    </w:p>
  </w:endnote>
  <w:endnote w:type="continuationSeparator" w:id="0">
    <w:p w:rsidR="005A08B3" w:rsidRDefault="005A08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5A40" w:rsidRPr="00921C91" w:rsidRDefault="00325A4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25A40" w:rsidRPr="00921C91" w:rsidRDefault="00325A40">
    <w:pPr>
      <w:pStyle w:val="Footer"/>
      <w:rPr>
        <w:szCs w:val="18"/>
      </w:rPr>
    </w:pPr>
  </w:p>
  <w:p w:rsidR="00325A40" w:rsidRPr="00921C91" w:rsidRDefault="00325A4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25A40" w:rsidRDefault="00325A4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08B3" w:rsidRDefault="005A08B3">
      <w:r>
        <w:separator/>
      </w:r>
    </w:p>
  </w:footnote>
  <w:footnote w:type="continuationSeparator" w:id="0">
    <w:p w:rsidR="005A08B3" w:rsidRDefault="005A08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A0DB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848A8" w:rsidRDefault="00A848A8" w:rsidP="00A848A8">
    <w:pPr>
      <w:pStyle w:val="bpuHeadSpon"/>
    </w:pPr>
    <w:r w:rsidRPr="00A848A8">
      <w:rPr>
        <w:rStyle w:val="bpuHeadSponChar"/>
      </w:rPr>
      <w:t>A3306</w:t>
    </w:r>
    <w:r>
      <w:t xml:space="preserve"> MCGUCKIN, CATALANO</w:t>
    </w:r>
  </w:p>
  <w:p w:rsidR="00A848A8" w:rsidRDefault="00A848A8" w:rsidP="00A848A8">
    <w:pPr>
      <w:pStyle w:val="bpuHeadSpon"/>
    </w:pPr>
    <w:r>
      <w:fldChar w:fldCharType="begin"/>
    </w:r>
    <w:r>
      <w:instrText xml:space="preserve"> PAGE  \* MERGEFORMAT </w:instrText>
    </w:r>
    <w:r>
      <w:fldChar w:fldCharType="separate"/>
    </w:r>
    <w:r w:rsidR="00BA0DB3">
      <w:rPr>
        <w:noProof/>
      </w:rPr>
      <w:t>4</w:t>
    </w:r>
    <w:r>
      <w:fldChar w:fldCharType="end"/>
    </w:r>
  </w:p>
  <w:p w:rsidR="00A848A8" w:rsidRDefault="00A848A8" w:rsidP="00A848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848A8" w:rsidRDefault="00A848A8" w:rsidP="00A848A8">
    <w:pPr>
      <w:pStyle w:val="bpuHeadSpon"/>
    </w:pPr>
    <w:r w:rsidRPr="00A848A8">
      <w:rPr>
        <w:rStyle w:val="bpuHeadSponChar"/>
      </w:rPr>
      <w:t>A3306</w:t>
    </w:r>
    <w:r>
      <w:t xml:space="preserve"> MCGUCKIN, CATALANO</w:t>
    </w:r>
  </w:p>
  <w:p w:rsidR="00A848A8" w:rsidRDefault="00A848A8" w:rsidP="00A848A8">
    <w:pPr>
      <w:pStyle w:val="bpuHeadSpon"/>
    </w:pPr>
    <w:r>
      <w:fldChar w:fldCharType="begin"/>
    </w:r>
    <w:r>
      <w:instrText xml:space="preserve"> PAGE  \* MERGEFORMAT </w:instrText>
    </w:r>
    <w:r>
      <w:fldChar w:fldCharType="separate"/>
    </w:r>
    <w:r w:rsidR="00BA0DB3">
      <w:rPr>
        <w:noProof/>
      </w:rPr>
      <w:t>2</w:t>
    </w:r>
    <w:r>
      <w:fldChar w:fldCharType="end"/>
    </w:r>
  </w:p>
  <w:p w:rsidR="00A848A8" w:rsidRDefault="00A848A8" w:rsidP="00A848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8B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0B18"/>
    <w:rsid w:val="002F3BA6"/>
    <w:rsid w:val="00315320"/>
    <w:rsid w:val="00325776"/>
    <w:rsid w:val="00325A40"/>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7E09"/>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08B3"/>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1BE6"/>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5508"/>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4E5A"/>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BAE"/>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8A8"/>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5A3E"/>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0DB3"/>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0788"/>
    <w:rsid w:val="00DB6AA2"/>
    <w:rsid w:val="00DE10D1"/>
    <w:rsid w:val="00DE2514"/>
    <w:rsid w:val="00DE6851"/>
    <w:rsid w:val="00DF03EE"/>
    <w:rsid w:val="00E01B71"/>
    <w:rsid w:val="00E05CC9"/>
    <w:rsid w:val="00E15573"/>
    <w:rsid w:val="00E1735D"/>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10D"/>
    <w:rsid w:val="00EA3A98"/>
    <w:rsid w:val="00EA7C16"/>
    <w:rsid w:val="00EB08D4"/>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503D"/>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9F92A9A-D04C-4E07-8796-48FF8080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24E5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24E5A"/>
    <w:rPr>
      <w:rFonts w:ascii="Segoe UI" w:hAnsi="Segoe UI" w:cs="Segoe UI"/>
      <w:spacing w:val="4"/>
      <w:sz w:val="18"/>
      <w:szCs w:val="18"/>
    </w:rPr>
  </w:style>
  <w:style w:type="character" w:styleId="LineNumber">
    <w:name w:val="line number"/>
    <w:basedOn w:val="DefaultParagraphFont"/>
    <w:semiHidden/>
    <w:unhideWhenUsed/>
    <w:rsid w:val="00A848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1297</Words>
  <Characters>7084</Characters>
  <Application>Microsoft Office Word</Application>
  <DocSecurity>0</DocSecurity>
  <Lines>166</Lines>
  <Paragraphs>32</Paragraphs>
  <ScaleCrop>false</ScaleCrop>
  <HeadingPairs>
    <vt:vector size="2" baseType="variant">
      <vt:variant>
        <vt:lpstr>Title</vt:lpstr>
      </vt:variant>
      <vt:variant>
        <vt:i4>1</vt:i4>
      </vt:variant>
    </vt:vector>
  </HeadingPairs>
  <TitlesOfParts>
    <vt:vector size="1" baseType="lpstr">
      <vt:lpstr>A3306</vt:lpstr>
    </vt:vector>
  </TitlesOfParts>
  <Manager>R225</Manager>
  <Company>NJ Office of Legislative Services</Company>
  <LinksUpToDate>false</LinksUpToDate>
  <CharactersWithSpaces>8389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A3306</dc:title>
  <dc:subject/>
  <dc:creator>Assemblyman  MCGUCKIN, Assemblyman  CATALANO</dc:creator>
  <cp:keywords>A3306|4|AU |269|0|269|F|0|</cp:keywords>
  <dc:description>INTRODUCED FEBRUARY 25, 2020</dc:description>
  <cp:lastModifiedBy>Siracusa, Nicole</cp:lastModifiedBy>
  <cp:revision>2</cp:revision>
  <cp:lastPrinted>2020-01-31T16:07:00Z</cp:lastPrinted>
  <dcterms:created xsi:type="dcterms:W3CDTF">2020-02-26T01:27:00Z</dcterms:created>
  <dcterms:modified xsi:type="dcterms:W3CDTF">2020-02-26T01:27:00Z</dcterms:modified>
  <cp:category>s.2: Eff. date and Note to s.1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