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8202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8202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3450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8202C">
        <w:t>Assembly Floor Amendments</w:t>
      </w:r>
    </w:p>
    <w:p w:rsidR="00DA6F1D" w:rsidRDefault="00C8202C" w:rsidP="00DA6F1D">
      <w:pPr>
        <w:pStyle w:val="NormalFloor"/>
        <w:jc w:val="center"/>
      </w:pPr>
      <w:r>
        <w:t>(Proposed by Assemblyman JOHNSON)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8202C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8202C" w:rsidRDefault="00C8202C" w:rsidP="00C8202C"/>
    <w:p w:rsidR="00C8202C" w:rsidRDefault="00C8202C" w:rsidP="00C8202C">
      <w:r>
        <w:tab/>
        <w:t>These floor amendments:</w:t>
      </w:r>
    </w:p>
    <w:p w:rsidR="00C8202C" w:rsidRDefault="00C8202C" w:rsidP="00C8202C">
      <w:r>
        <w:tab/>
        <w:t>(1)</w:t>
      </w:r>
      <w:r>
        <w:tab/>
        <w:t>expand the definition of “earned but unpaid income” to mean earned income, wages, government benefits, or other cash distributions that has not yet been paid to the consumer;</w:t>
      </w:r>
    </w:p>
    <w:p w:rsidR="00C8202C" w:rsidRDefault="00C8202C" w:rsidP="00C8202C">
      <w:r>
        <w:tab/>
        <w:t>(2)</w:t>
      </w:r>
      <w:r>
        <w:tab/>
        <w:t>provide that the imposition of a fee on a consumer pursuant to the provisions of the bill does not constitute a violation of N.J.S.A.34:11-4.14;</w:t>
      </w:r>
    </w:p>
    <w:p w:rsidR="00C8202C" w:rsidRDefault="00C8202C" w:rsidP="00C8202C">
      <w:r>
        <w:tab/>
        <w:t>(3)</w:t>
      </w:r>
      <w:r>
        <w:tab/>
        <w:t>provide that a provider that contracts solely with a consumer shall not charge a mandatory fee to the consumer for the provisions of earned income access services;</w:t>
      </w:r>
    </w:p>
    <w:p w:rsidR="00C8202C" w:rsidRDefault="00C8202C" w:rsidP="00C8202C">
      <w:r>
        <w:tab/>
        <w:t>(4)</w:t>
      </w:r>
      <w:r>
        <w:tab/>
        <w:t>provide that an</w:t>
      </w:r>
      <w:r w:rsidRPr="000A7FE0">
        <w:t xml:space="preserve"> earned income access service provider may be employer-i</w:t>
      </w:r>
      <w:r>
        <w:t xml:space="preserve">ntegrated or direct-to-consumer; </w:t>
      </w:r>
    </w:p>
    <w:p w:rsidR="00C8202C" w:rsidRDefault="00C8202C" w:rsidP="00C8202C">
      <w:r>
        <w:tab/>
        <w:t>(5)</w:t>
      </w:r>
      <w:r>
        <w:tab/>
        <w:t xml:space="preserve">clarify that “earned income access services” are not to be considered a loan; </w:t>
      </w:r>
    </w:p>
    <w:p w:rsidR="00C8202C" w:rsidRDefault="00C8202C" w:rsidP="00C8202C">
      <w:r>
        <w:tab/>
        <w:t>(6)</w:t>
      </w:r>
      <w:r>
        <w:tab/>
        <w:t>require each earned income access service provider to include with the annual registration a list of the fees charged by the provider; and</w:t>
      </w:r>
    </w:p>
    <w:p w:rsidR="00C8202C" w:rsidRPr="00DA6F1D" w:rsidRDefault="00C8202C" w:rsidP="00A74B07">
      <w:r>
        <w:tab/>
        <w:t>(7)</w:t>
      </w:r>
      <w:r>
        <w:tab/>
        <w:t>clarify that an earned income access service provider may continue to operate until the Department of Banking and Insurance prescribes the form and manner of the annual registration.</w:t>
      </w:r>
    </w:p>
    <w:sectPr w:rsidR="00C8202C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A2772"/>
    <w:rsid w:val="001C7B7C"/>
    <w:rsid w:val="00226BD2"/>
    <w:rsid w:val="0025232F"/>
    <w:rsid w:val="00291BFE"/>
    <w:rsid w:val="002F501A"/>
    <w:rsid w:val="00416675"/>
    <w:rsid w:val="00444BFC"/>
    <w:rsid w:val="004D6C2C"/>
    <w:rsid w:val="004F1874"/>
    <w:rsid w:val="00503D8B"/>
    <w:rsid w:val="005663B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8202C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D3BF8C0-678A-498C-BA96-FA66709A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663BB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566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994</Characters>
  <Application>Microsoft Office Word</Application>
  <DocSecurity>0</DocSecurity>
  <Lines>31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A3450 1R Assembly Statement 10/29/20</vt:lpstr>
    </vt:vector>
  </TitlesOfParts>
  <Manager>R224</Manager>
  <Company>Office of Legislative Services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A3450 1R Assembly Statement 10/29/20</dc:title>
  <dc:subject/>
  <dc:creator>Assembly</dc:creator>
  <cp:keywords>A3450|1|CL |307|0|0|!||</cp:keywords>
  <dc:description/>
  <cp:lastModifiedBy>Franks, Denise</cp:lastModifiedBy>
  <cp:revision>2</cp:revision>
  <cp:lastPrinted>2020-10-30T16:23:00Z</cp:lastPrinted>
  <dcterms:created xsi:type="dcterms:W3CDTF">2020-10-30T17:35:00Z</dcterms:created>
  <dcterms:modified xsi:type="dcterms:W3CDTF">2020-10-30T17:35:00Z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